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2817D2" w14:textId="188719FF" w:rsidR="0096772B" w:rsidRPr="00A126EC" w:rsidRDefault="0096772B" w:rsidP="00A126EC">
      <w:pPr>
        <w:jc w:val="center"/>
      </w:pPr>
      <w:r>
        <w:rPr>
          <w:noProof/>
        </w:rPr>
        <w:drawing>
          <wp:anchor distT="0" distB="0" distL="114300" distR="114300" simplePos="0" relativeHeight="251659264" behindDoc="0" locked="0" layoutInCell="1" allowOverlap="1" wp14:anchorId="688FFE9F" wp14:editId="3194CDEE">
            <wp:simplePos x="0" y="0"/>
            <wp:positionH relativeFrom="column">
              <wp:posOffset>-445770</wp:posOffset>
            </wp:positionH>
            <wp:positionV relativeFrom="paragraph">
              <wp:posOffset>-158115</wp:posOffset>
            </wp:positionV>
            <wp:extent cx="557530" cy="450215"/>
            <wp:effectExtent l="0" t="0" r="0" b="6985"/>
            <wp:wrapNone/>
            <wp:docPr id="1719130400" name="Imagen 1" descr="Descripción: G:\Logos\+logo colegio 2019.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Descripción: G:\Logos\+logo colegio 2019.jpg"/>
                    <pic:cNvPicPr>
                      <a:picLocks noChangeAspect="1" noChangeArrowheads="1"/>
                    </pic:cNvPicPr>
                  </pic:nvPicPr>
                  <pic:blipFill>
                    <a:blip r:embed="rId4">
                      <a:extLst>
                        <a:ext uri="{28A0092B-C50C-407E-A947-70E740481C1C}">
                          <a14:useLocalDpi xmlns:a14="http://schemas.microsoft.com/office/drawing/2010/main" val="0"/>
                        </a:ext>
                      </a:extLst>
                    </a:blip>
                    <a:srcRect l="11966" r="10255" b="17374"/>
                    <a:stretch>
                      <a:fillRect/>
                    </a:stretch>
                  </pic:blipFill>
                  <pic:spPr bwMode="auto">
                    <a:xfrm>
                      <a:off x="0" y="0"/>
                      <a:ext cx="557530" cy="450215"/>
                    </a:xfrm>
                    <a:prstGeom prst="rect">
                      <a:avLst/>
                    </a:prstGeom>
                    <a:noFill/>
                  </pic:spPr>
                </pic:pic>
              </a:graphicData>
            </a:graphic>
            <wp14:sizeRelH relativeFrom="page">
              <wp14:pctWidth>0</wp14:pctWidth>
            </wp14:sizeRelH>
            <wp14:sizeRelV relativeFrom="page">
              <wp14:pctHeight>0</wp14:pctHeight>
            </wp14:sizeRelV>
          </wp:anchor>
        </w:drawing>
      </w:r>
      <w:r>
        <w:rPr>
          <w:rFonts w:asciiTheme="minorHAnsi" w:hAnsiTheme="minorHAnsi" w:cstheme="minorHAnsi"/>
          <w:b/>
          <w:bCs/>
          <w:noProof/>
          <w:u w:val="single"/>
          <w:lang w:eastAsia="es-CL"/>
        </w:rPr>
        <w:t xml:space="preserve">CARTA GANTT -CRONOGRAMA DE EVALAUCIÓN </w:t>
      </w:r>
      <w:r>
        <w:rPr>
          <w:rFonts w:asciiTheme="minorHAnsi" w:hAnsiTheme="minorHAnsi" w:cstheme="minorHAnsi"/>
          <w:b/>
          <w:bCs/>
          <w:u w:val="single"/>
        </w:rPr>
        <w:t xml:space="preserve">  2</w:t>
      </w:r>
      <w:r>
        <w:rPr>
          <w:rFonts w:asciiTheme="minorHAnsi" w:hAnsiTheme="minorHAnsi" w:cstheme="minorHAnsi"/>
          <w:b/>
          <w:bCs/>
          <w:u w:val="single"/>
          <w:vertAlign w:val="superscript"/>
        </w:rPr>
        <w:t xml:space="preserve">do </w:t>
      </w:r>
      <w:r>
        <w:rPr>
          <w:rFonts w:asciiTheme="minorHAnsi" w:hAnsiTheme="minorHAnsi" w:cstheme="minorHAnsi"/>
          <w:b/>
          <w:bCs/>
          <w:u w:val="single"/>
        </w:rPr>
        <w:t>SEMESTRE 2025</w:t>
      </w:r>
    </w:p>
    <w:p w14:paraId="1226BFA3" w14:textId="77777777" w:rsidR="0096772B" w:rsidRDefault="0096772B" w:rsidP="0096772B">
      <w:pPr>
        <w:tabs>
          <w:tab w:val="left" w:pos="4665"/>
        </w:tabs>
        <w:rPr>
          <w:rFonts w:asciiTheme="minorHAnsi" w:hAnsiTheme="minorHAnsi" w:cstheme="minorHAnsi"/>
        </w:rPr>
      </w:pPr>
    </w:p>
    <w:p w14:paraId="73929CDD" w14:textId="77777777" w:rsidR="0096772B" w:rsidRDefault="0096772B" w:rsidP="0096772B">
      <w:pPr>
        <w:rPr>
          <w:rFonts w:asciiTheme="minorHAnsi" w:hAnsiTheme="minorHAnsi" w:cstheme="minorHAnsi"/>
        </w:rPr>
      </w:pPr>
    </w:p>
    <w:tbl>
      <w:tblPr>
        <w:tblpPr w:leftFromText="141" w:rightFromText="141" w:bottomFromText="160" w:vertAnchor="text" w:horzAnchor="margin" w:tblpX="-866" w:tblpY="139"/>
        <w:tblW w:w="146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222"/>
        <w:gridCol w:w="4820"/>
        <w:gridCol w:w="1559"/>
      </w:tblGrid>
      <w:tr w:rsidR="0096772B" w14:paraId="643588F7" w14:textId="77777777" w:rsidTr="0096772B">
        <w:trPr>
          <w:trHeight w:val="379"/>
        </w:trPr>
        <w:tc>
          <w:tcPr>
            <w:tcW w:w="8222" w:type="dxa"/>
            <w:tcBorders>
              <w:top w:val="single" w:sz="4" w:space="0" w:color="auto"/>
              <w:left w:val="single" w:sz="4" w:space="0" w:color="auto"/>
              <w:bottom w:val="single" w:sz="4" w:space="0" w:color="auto"/>
              <w:right w:val="single" w:sz="4" w:space="0" w:color="auto"/>
            </w:tcBorders>
            <w:vAlign w:val="center"/>
            <w:hideMark/>
          </w:tcPr>
          <w:p w14:paraId="5A98C385" w14:textId="77777777" w:rsidR="0096772B" w:rsidRDefault="0096772B">
            <w:pPr>
              <w:spacing w:line="254" w:lineRule="auto"/>
              <w:rPr>
                <w:rFonts w:asciiTheme="minorHAnsi" w:hAnsiTheme="minorHAnsi" w:cstheme="minorHAnsi"/>
                <w:b/>
                <w:kern w:val="2"/>
                <w14:ligatures w14:val="standardContextual"/>
              </w:rPr>
            </w:pPr>
            <w:r>
              <w:rPr>
                <w:rFonts w:asciiTheme="minorHAnsi" w:hAnsiTheme="minorHAnsi" w:cstheme="minorHAnsi"/>
                <w:b/>
                <w:kern w:val="2"/>
                <w14:ligatures w14:val="standardContextual"/>
              </w:rPr>
              <w:t>Sector / Subsector: Historia y Ciencias Sociales</w:t>
            </w:r>
          </w:p>
        </w:tc>
        <w:tc>
          <w:tcPr>
            <w:tcW w:w="4820" w:type="dxa"/>
            <w:tcBorders>
              <w:top w:val="single" w:sz="4" w:space="0" w:color="auto"/>
              <w:left w:val="single" w:sz="4" w:space="0" w:color="auto"/>
              <w:bottom w:val="single" w:sz="4" w:space="0" w:color="auto"/>
              <w:right w:val="single" w:sz="4" w:space="0" w:color="auto"/>
            </w:tcBorders>
            <w:vAlign w:val="center"/>
            <w:hideMark/>
          </w:tcPr>
          <w:p w14:paraId="31919B43" w14:textId="77777777" w:rsidR="0096772B" w:rsidRDefault="0096772B">
            <w:pPr>
              <w:spacing w:line="254" w:lineRule="auto"/>
              <w:rPr>
                <w:rFonts w:asciiTheme="minorHAnsi" w:hAnsiTheme="minorHAnsi" w:cstheme="minorHAnsi"/>
                <w:kern w:val="2"/>
                <w14:ligatures w14:val="standardContextual"/>
              </w:rPr>
            </w:pPr>
            <w:r>
              <w:rPr>
                <w:rFonts w:asciiTheme="minorHAnsi" w:hAnsiTheme="minorHAnsi" w:cstheme="minorHAnsi"/>
                <w:b/>
                <w:kern w:val="2"/>
                <w14:ligatures w14:val="standardContextual"/>
              </w:rPr>
              <w:t>Profesor/a: Camila Urzúa Guerra</w:t>
            </w:r>
          </w:p>
        </w:tc>
        <w:tc>
          <w:tcPr>
            <w:tcW w:w="1559" w:type="dxa"/>
            <w:tcBorders>
              <w:top w:val="single" w:sz="4" w:space="0" w:color="auto"/>
              <w:left w:val="single" w:sz="4" w:space="0" w:color="auto"/>
              <w:bottom w:val="single" w:sz="4" w:space="0" w:color="auto"/>
              <w:right w:val="single" w:sz="4" w:space="0" w:color="auto"/>
            </w:tcBorders>
            <w:vAlign w:val="center"/>
            <w:hideMark/>
          </w:tcPr>
          <w:p w14:paraId="39FE19EE" w14:textId="7DEB1423" w:rsidR="0096772B" w:rsidRDefault="0096772B">
            <w:pPr>
              <w:spacing w:line="254" w:lineRule="auto"/>
              <w:rPr>
                <w:rFonts w:asciiTheme="minorHAnsi" w:hAnsiTheme="minorHAnsi" w:cstheme="minorHAnsi"/>
                <w:b/>
                <w:bCs/>
                <w:kern w:val="2"/>
                <w14:ligatures w14:val="standardContextual"/>
              </w:rPr>
            </w:pPr>
            <w:r>
              <w:rPr>
                <w:rFonts w:asciiTheme="minorHAnsi" w:hAnsiTheme="minorHAnsi" w:cstheme="minorHAnsi"/>
                <w:b/>
                <w:bCs/>
                <w:kern w:val="2"/>
                <w14:ligatures w14:val="standardContextual"/>
              </w:rPr>
              <w:t>CURSO: II</w:t>
            </w:r>
            <w:r w:rsidR="00C06069">
              <w:rPr>
                <w:rFonts w:asciiTheme="minorHAnsi" w:hAnsiTheme="minorHAnsi" w:cstheme="minorHAnsi"/>
                <w:b/>
                <w:bCs/>
                <w:kern w:val="2"/>
                <w14:ligatures w14:val="standardContextual"/>
              </w:rPr>
              <w:t xml:space="preserve"> B</w:t>
            </w:r>
          </w:p>
        </w:tc>
      </w:tr>
    </w:tbl>
    <w:p w14:paraId="74D44CD6" w14:textId="77777777" w:rsidR="0096772B" w:rsidRDefault="0096772B" w:rsidP="0096772B">
      <w:pPr>
        <w:rPr>
          <w:rFonts w:asciiTheme="minorHAnsi" w:hAnsiTheme="minorHAnsi" w:cstheme="minorHAnsi"/>
        </w:rPr>
      </w:pPr>
    </w:p>
    <w:tbl>
      <w:tblPr>
        <w:tblStyle w:val="Tablaconcuadrcula"/>
        <w:tblW w:w="14884" w:type="dxa"/>
        <w:tblInd w:w="-1139" w:type="dxa"/>
        <w:tblLook w:val="04A0" w:firstRow="1" w:lastRow="0" w:firstColumn="1" w:lastColumn="0" w:noHBand="0" w:noVBand="1"/>
      </w:tblPr>
      <w:tblGrid>
        <w:gridCol w:w="8080"/>
        <w:gridCol w:w="2026"/>
        <w:gridCol w:w="1449"/>
        <w:gridCol w:w="1600"/>
        <w:gridCol w:w="1729"/>
      </w:tblGrid>
      <w:tr w:rsidR="0096772B" w14:paraId="363F3F4C" w14:textId="77777777" w:rsidTr="00C06069">
        <w:trPr>
          <w:trHeight w:val="423"/>
        </w:trPr>
        <w:tc>
          <w:tcPr>
            <w:tcW w:w="8080" w:type="dxa"/>
            <w:vMerge w:val="restart"/>
            <w:tcBorders>
              <w:top w:val="single" w:sz="4" w:space="0" w:color="auto"/>
              <w:left w:val="single" w:sz="4" w:space="0" w:color="auto"/>
              <w:bottom w:val="single" w:sz="4" w:space="0" w:color="auto"/>
              <w:right w:val="single" w:sz="4" w:space="0" w:color="auto"/>
            </w:tcBorders>
            <w:vAlign w:val="center"/>
            <w:hideMark/>
          </w:tcPr>
          <w:p w14:paraId="0F94972B" w14:textId="77777777" w:rsidR="0096772B" w:rsidRDefault="0096772B">
            <w:pPr>
              <w:jc w:val="center"/>
              <w:rPr>
                <w:rFonts w:asciiTheme="minorHAnsi" w:hAnsiTheme="minorHAnsi" w:cstheme="minorHAnsi"/>
                <w:b/>
              </w:rPr>
            </w:pPr>
            <w:r>
              <w:rPr>
                <w:rFonts w:asciiTheme="minorHAnsi" w:hAnsiTheme="minorHAnsi" w:cstheme="minorHAnsi"/>
                <w:b/>
              </w:rPr>
              <w:t>OBJETIVOS DE APRENDIZAJES</w:t>
            </w:r>
          </w:p>
          <w:p w14:paraId="527815FA" w14:textId="77777777" w:rsidR="0096772B" w:rsidRDefault="0096772B">
            <w:pPr>
              <w:jc w:val="center"/>
              <w:rPr>
                <w:rFonts w:asciiTheme="minorHAnsi" w:hAnsiTheme="minorHAnsi" w:cstheme="minorHAnsi"/>
                <w:b/>
              </w:rPr>
            </w:pPr>
            <w:r>
              <w:rPr>
                <w:rFonts w:asciiTheme="minorHAnsi" w:hAnsiTheme="minorHAnsi" w:cstheme="minorHAnsi"/>
                <w:b/>
              </w:rPr>
              <w:t>(Basales, Complementarios y/o Transversales)</w:t>
            </w:r>
          </w:p>
        </w:tc>
        <w:tc>
          <w:tcPr>
            <w:tcW w:w="2026" w:type="dxa"/>
            <w:vMerge w:val="restart"/>
            <w:tcBorders>
              <w:top w:val="single" w:sz="4" w:space="0" w:color="auto"/>
              <w:left w:val="single" w:sz="4" w:space="0" w:color="auto"/>
              <w:bottom w:val="single" w:sz="4" w:space="0" w:color="auto"/>
              <w:right w:val="single" w:sz="4" w:space="0" w:color="auto"/>
            </w:tcBorders>
            <w:vAlign w:val="center"/>
            <w:hideMark/>
          </w:tcPr>
          <w:p w14:paraId="63EFEAFD" w14:textId="77777777" w:rsidR="0096772B" w:rsidRDefault="0096772B">
            <w:pPr>
              <w:spacing w:line="254" w:lineRule="auto"/>
              <w:jc w:val="center"/>
              <w:rPr>
                <w:rFonts w:asciiTheme="minorHAnsi" w:hAnsiTheme="minorHAnsi" w:cstheme="minorHAnsi"/>
                <w:b/>
                <w:bCs/>
              </w:rPr>
            </w:pPr>
            <w:r>
              <w:rPr>
                <w:rFonts w:asciiTheme="minorHAnsi" w:hAnsiTheme="minorHAnsi" w:cstheme="minorHAnsi"/>
                <w:b/>
                <w:bCs/>
              </w:rPr>
              <w:t>MES / PERIODO</w:t>
            </w:r>
          </w:p>
        </w:tc>
        <w:tc>
          <w:tcPr>
            <w:tcW w:w="4778" w:type="dxa"/>
            <w:gridSpan w:val="3"/>
            <w:tcBorders>
              <w:top w:val="single" w:sz="4" w:space="0" w:color="auto"/>
              <w:left w:val="single" w:sz="4" w:space="0" w:color="auto"/>
              <w:bottom w:val="single" w:sz="4" w:space="0" w:color="auto"/>
              <w:right w:val="single" w:sz="4" w:space="0" w:color="auto"/>
            </w:tcBorders>
            <w:vAlign w:val="center"/>
            <w:hideMark/>
          </w:tcPr>
          <w:p w14:paraId="0616DD95" w14:textId="77777777" w:rsidR="0096772B" w:rsidRDefault="0096772B">
            <w:pPr>
              <w:spacing w:line="254" w:lineRule="auto"/>
              <w:jc w:val="center"/>
              <w:rPr>
                <w:rFonts w:asciiTheme="minorHAnsi" w:hAnsiTheme="minorHAnsi" w:cstheme="minorHAnsi"/>
                <w:b/>
                <w:bCs/>
              </w:rPr>
            </w:pPr>
            <w:r>
              <w:rPr>
                <w:rFonts w:asciiTheme="minorHAnsi" w:hAnsiTheme="minorHAnsi" w:cstheme="minorHAnsi"/>
                <w:b/>
                <w:bCs/>
              </w:rPr>
              <w:t>TIPO DE EVALUACIÓN</w:t>
            </w:r>
          </w:p>
        </w:tc>
      </w:tr>
      <w:tr w:rsidR="0096772B" w14:paraId="51312401" w14:textId="77777777" w:rsidTr="00C06069">
        <w:trPr>
          <w:trHeight w:val="273"/>
        </w:trPr>
        <w:tc>
          <w:tcPr>
            <w:tcW w:w="8080" w:type="dxa"/>
            <w:vMerge/>
            <w:tcBorders>
              <w:top w:val="single" w:sz="4" w:space="0" w:color="auto"/>
              <w:left w:val="single" w:sz="4" w:space="0" w:color="auto"/>
              <w:bottom w:val="single" w:sz="4" w:space="0" w:color="auto"/>
              <w:right w:val="single" w:sz="4" w:space="0" w:color="auto"/>
            </w:tcBorders>
            <w:vAlign w:val="center"/>
            <w:hideMark/>
          </w:tcPr>
          <w:p w14:paraId="336C19DB" w14:textId="77777777" w:rsidR="0096772B" w:rsidRDefault="0096772B">
            <w:pPr>
              <w:rPr>
                <w:rFonts w:asciiTheme="minorHAnsi" w:hAnsiTheme="minorHAnsi" w:cstheme="minorHAnsi"/>
                <w:b/>
                <w:kern w:val="2"/>
                <w14:ligatures w14:val="standardContextual"/>
              </w:rPr>
            </w:pPr>
          </w:p>
        </w:tc>
        <w:tc>
          <w:tcPr>
            <w:tcW w:w="2026" w:type="dxa"/>
            <w:vMerge/>
            <w:tcBorders>
              <w:top w:val="single" w:sz="4" w:space="0" w:color="auto"/>
              <w:left w:val="single" w:sz="4" w:space="0" w:color="auto"/>
              <w:bottom w:val="single" w:sz="4" w:space="0" w:color="auto"/>
              <w:right w:val="single" w:sz="4" w:space="0" w:color="auto"/>
            </w:tcBorders>
            <w:vAlign w:val="center"/>
            <w:hideMark/>
          </w:tcPr>
          <w:p w14:paraId="5528B8D4" w14:textId="77777777" w:rsidR="0096772B" w:rsidRDefault="0096772B">
            <w:pPr>
              <w:rPr>
                <w:rFonts w:asciiTheme="minorHAnsi" w:hAnsiTheme="minorHAnsi" w:cstheme="minorHAnsi"/>
                <w:b/>
                <w:bCs/>
                <w:kern w:val="2"/>
                <w14:ligatures w14:val="standardContextual"/>
              </w:rPr>
            </w:pPr>
          </w:p>
        </w:tc>
        <w:tc>
          <w:tcPr>
            <w:tcW w:w="4778" w:type="dxa"/>
            <w:gridSpan w:val="3"/>
            <w:tcBorders>
              <w:top w:val="single" w:sz="4" w:space="0" w:color="auto"/>
              <w:left w:val="single" w:sz="4" w:space="0" w:color="auto"/>
              <w:bottom w:val="single" w:sz="4" w:space="0" w:color="auto"/>
              <w:right w:val="single" w:sz="4" w:space="0" w:color="auto"/>
            </w:tcBorders>
            <w:hideMark/>
          </w:tcPr>
          <w:p w14:paraId="164787CB" w14:textId="77777777" w:rsidR="0096772B" w:rsidRDefault="0096772B">
            <w:pPr>
              <w:jc w:val="center"/>
              <w:rPr>
                <w:rFonts w:asciiTheme="minorHAnsi" w:hAnsiTheme="minorHAnsi" w:cstheme="minorHAnsi"/>
                <w:b/>
                <w:bCs/>
              </w:rPr>
            </w:pPr>
            <w:r>
              <w:rPr>
                <w:rFonts w:asciiTheme="minorHAnsi" w:hAnsiTheme="minorHAnsi" w:cstheme="minorHAnsi"/>
                <w:b/>
                <w:bCs/>
              </w:rPr>
              <w:t xml:space="preserve">FECHAS </w:t>
            </w:r>
          </w:p>
        </w:tc>
      </w:tr>
      <w:tr w:rsidR="0096772B" w14:paraId="7FD12AFD" w14:textId="77777777" w:rsidTr="00C06069">
        <w:trPr>
          <w:trHeight w:val="575"/>
        </w:trPr>
        <w:tc>
          <w:tcPr>
            <w:tcW w:w="8080" w:type="dxa"/>
            <w:vMerge/>
            <w:tcBorders>
              <w:top w:val="single" w:sz="4" w:space="0" w:color="auto"/>
              <w:left w:val="single" w:sz="4" w:space="0" w:color="auto"/>
              <w:bottom w:val="single" w:sz="4" w:space="0" w:color="auto"/>
              <w:right w:val="single" w:sz="4" w:space="0" w:color="auto"/>
            </w:tcBorders>
            <w:vAlign w:val="center"/>
            <w:hideMark/>
          </w:tcPr>
          <w:p w14:paraId="653F091C" w14:textId="77777777" w:rsidR="0096772B" w:rsidRDefault="0096772B">
            <w:pPr>
              <w:rPr>
                <w:rFonts w:asciiTheme="minorHAnsi" w:hAnsiTheme="minorHAnsi" w:cstheme="minorHAnsi"/>
                <w:b/>
                <w:kern w:val="2"/>
                <w14:ligatures w14:val="standardContextual"/>
              </w:rPr>
            </w:pPr>
          </w:p>
        </w:tc>
        <w:tc>
          <w:tcPr>
            <w:tcW w:w="2026" w:type="dxa"/>
            <w:vMerge/>
            <w:tcBorders>
              <w:top w:val="single" w:sz="4" w:space="0" w:color="auto"/>
              <w:left w:val="single" w:sz="4" w:space="0" w:color="auto"/>
              <w:bottom w:val="single" w:sz="4" w:space="0" w:color="auto"/>
              <w:right w:val="single" w:sz="4" w:space="0" w:color="auto"/>
            </w:tcBorders>
            <w:vAlign w:val="center"/>
            <w:hideMark/>
          </w:tcPr>
          <w:p w14:paraId="3E4D73B4" w14:textId="77777777" w:rsidR="0096772B" w:rsidRDefault="0096772B">
            <w:pPr>
              <w:rPr>
                <w:rFonts w:asciiTheme="minorHAnsi" w:hAnsiTheme="minorHAnsi" w:cstheme="minorHAnsi"/>
                <w:b/>
                <w:bCs/>
                <w:kern w:val="2"/>
                <w14:ligatures w14:val="standardContextual"/>
              </w:rPr>
            </w:pPr>
          </w:p>
        </w:tc>
        <w:tc>
          <w:tcPr>
            <w:tcW w:w="1449" w:type="dxa"/>
            <w:tcBorders>
              <w:top w:val="single" w:sz="4" w:space="0" w:color="auto"/>
              <w:left w:val="single" w:sz="4" w:space="0" w:color="auto"/>
              <w:bottom w:val="single" w:sz="4" w:space="0" w:color="auto"/>
              <w:right w:val="single" w:sz="4" w:space="0" w:color="auto"/>
            </w:tcBorders>
            <w:hideMark/>
          </w:tcPr>
          <w:p w14:paraId="3C5C95E2" w14:textId="77777777" w:rsidR="0096772B" w:rsidRDefault="0096772B">
            <w:pPr>
              <w:jc w:val="center"/>
              <w:rPr>
                <w:rFonts w:asciiTheme="minorHAnsi" w:hAnsiTheme="minorHAnsi" w:cstheme="minorHAnsi"/>
                <w:b/>
                <w:bCs/>
              </w:rPr>
            </w:pPr>
            <w:r>
              <w:rPr>
                <w:rFonts w:asciiTheme="minorHAnsi" w:hAnsiTheme="minorHAnsi" w:cstheme="minorHAnsi"/>
                <w:b/>
                <w:bCs/>
              </w:rPr>
              <w:t>FORMATIVA</w:t>
            </w:r>
          </w:p>
        </w:tc>
        <w:tc>
          <w:tcPr>
            <w:tcW w:w="1600" w:type="dxa"/>
            <w:tcBorders>
              <w:top w:val="single" w:sz="4" w:space="0" w:color="auto"/>
              <w:left w:val="single" w:sz="4" w:space="0" w:color="auto"/>
              <w:bottom w:val="single" w:sz="4" w:space="0" w:color="auto"/>
              <w:right w:val="single" w:sz="4" w:space="0" w:color="auto"/>
            </w:tcBorders>
            <w:hideMark/>
          </w:tcPr>
          <w:p w14:paraId="46EEE29B" w14:textId="77777777" w:rsidR="0096772B" w:rsidRDefault="0096772B">
            <w:pPr>
              <w:jc w:val="center"/>
              <w:rPr>
                <w:rFonts w:asciiTheme="minorHAnsi" w:hAnsiTheme="minorHAnsi" w:cstheme="minorHAnsi"/>
                <w:b/>
                <w:bCs/>
              </w:rPr>
            </w:pPr>
            <w:r>
              <w:rPr>
                <w:rFonts w:asciiTheme="minorHAnsi" w:hAnsiTheme="minorHAnsi" w:cstheme="minorHAnsi"/>
                <w:b/>
                <w:bCs/>
              </w:rPr>
              <w:t>SUMATIVA</w:t>
            </w:r>
          </w:p>
        </w:tc>
        <w:tc>
          <w:tcPr>
            <w:tcW w:w="1729" w:type="dxa"/>
            <w:tcBorders>
              <w:top w:val="single" w:sz="4" w:space="0" w:color="auto"/>
              <w:left w:val="single" w:sz="4" w:space="0" w:color="auto"/>
              <w:bottom w:val="single" w:sz="4" w:space="0" w:color="auto"/>
              <w:right w:val="single" w:sz="4" w:space="0" w:color="auto"/>
            </w:tcBorders>
            <w:hideMark/>
          </w:tcPr>
          <w:p w14:paraId="5578368A" w14:textId="77777777" w:rsidR="0096772B" w:rsidRDefault="0096772B">
            <w:pPr>
              <w:jc w:val="center"/>
              <w:rPr>
                <w:rFonts w:asciiTheme="minorHAnsi" w:hAnsiTheme="minorHAnsi" w:cstheme="minorHAnsi"/>
                <w:b/>
                <w:bCs/>
              </w:rPr>
            </w:pPr>
            <w:r>
              <w:rPr>
                <w:rFonts w:asciiTheme="minorHAnsi" w:hAnsiTheme="minorHAnsi" w:cstheme="minorHAnsi"/>
                <w:b/>
                <w:bCs/>
              </w:rPr>
              <w:t>ACUMULATIVA</w:t>
            </w:r>
          </w:p>
        </w:tc>
      </w:tr>
      <w:tr w:rsidR="0096772B" w14:paraId="79862F47" w14:textId="77777777" w:rsidTr="00C06069">
        <w:trPr>
          <w:trHeight w:val="168"/>
        </w:trPr>
        <w:tc>
          <w:tcPr>
            <w:tcW w:w="8080" w:type="dxa"/>
            <w:tcBorders>
              <w:top w:val="single" w:sz="4" w:space="0" w:color="auto"/>
              <w:left w:val="single" w:sz="4" w:space="0" w:color="auto"/>
              <w:bottom w:val="single" w:sz="4" w:space="0" w:color="auto"/>
              <w:right w:val="single" w:sz="4" w:space="0" w:color="auto"/>
            </w:tcBorders>
            <w:hideMark/>
          </w:tcPr>
          <w:p w14:paraId="166B2A78" w14:textId="5C10783C" w:rsidR="0096772B" w:rsidRDefault="0096772B">
            <w:pPr>
              <w:rPr>
                <w:rFonts w:asciiTheme="minorHAnsi" w:hAnsiTheme="minorHAnsi" w:cstheme="minorHAnsi"/>
                <w:b/>
                <w:bCs/>
                <w:i/>
                <w:iCs/>
              </w:rPr>
            </w:pPr>
            <w:r>
              <w:rPr>
                <w:rFonts w:asciiTheme="minorHAnsi" w:hAnsiTheme="minorHAnsi" w:cstheme="minorHAnsi"/>
                <w:b/>
                <w:bCs/>
                <w:i/>
                <w:iCs/>
              </w:rPr>
              <w:t>Unidad 2</w:t>
            </w:r>
            <w:r w:rsidRPr="0096772B">
              <w:rPr>
                <w:rFonts w:asciiTheme="minorHAnsi" w:hAnsiTheme="minorHAnsi" w:cstheme="minorHAnsi"/>
                <w:b/>
                <w:bCs/>
                <w:i/>
                <w:iCs/>
              </w:rPr>
              <w:t>: El mundo bipolar: proyectos políticos, transformaciones estructurales y quiebre de la democracia en Chile</w:t>
            </w:r>
          </w:p>
        </w:tc>
        <w:tc>
          <w:tcPr>
            <w:tcW w:w="2026" w:type="dxa"/>
            <w:vMerge w:val="restart"/>
            <w:tcBorders>
              <w:top w:val="single" w:sz="4" w:space="0" w:color="auto"/>
              <w:left w:val="single" w:sz="4" w:space="0" w:color="auto"/>
              <w:bottom w:val="single" w:sz="4" w:space="0" w:color="auto"/>
              <w:right w:val="single" w:sz="4" w:space="0" w:color="auto"/>
            </w:tcBorders>
            <w:vAlign w:val="center"/>
          </w:tcPr>
          <w:p w14:paraId="784FE9FF" w14:textId="77777777" w:rsidR="0096772B" w:rsidRDefault="00C06069">
            <w:pPr>
              <w:jc w:val="center"/>
              <w:rPr>
                <w:rFonts w:asciiTheme="minorHAnsi" w:hAnsiTheme="minorHAnsi" w:cstheme="minorHAnsi"/>
              </w:rPr>
            </w:pPr>
            <w:r>
              <w:rPr>
                <w:rFonts w:asciiTheme="minorHAnsi" w:hAnsiTheme="minorHAnsi" w:cstheme="minorHAnsi"/>
              </w:rPr>
              <w:t>7 de julio a 1 de agosto</w:t>
            </w:r>
          </w:p>
          <w:p w14:paraId="62E7E05A" w14:textId="77777777" w:rsidR="00C06069" w:rsidRDefault="00C06069">
            <w:pPr>
              <w:jc w:val="center"/>
              <w:rPr>
                <w:rFonts w:asciiTheme="minorHAnsi" w:hAnsiTheme="minorHAnsi" w:cstheme="minorHAnsi"/>
              </w:rPr>
            </w:pPr>
          </w:p>
          <w:p w14:paraId="2848E921" w14:textId="19211DED" w:rsidR="00C06069" w:rsidRDefault="00C06069">
            <w:pPr>
              <w:jc w:val="center"/>
              <w:rPr>
                <w:rFonts w:asciiTheme="minorHAnsi" w:hAnsiTheme="minorHAnsi" w:cstheme="minorHAnsi"/>
              </w:rPr>
            </w:pPr>
          </w:p>
        </w:tc>
        <w:tc>
          <w:tcPr>
            <w:tcW w:w="1449" w:type="dxa"/>
            <w:vMerge w:val="restart"/>
            <w:tcBorders>
              <w:top w:val="single" w:sz="4" w:space="0" w:color="auto"/>
              <w:left w:val="single" w:sz="4" w:space="0" w:color="auto"/>
              <w:bottom w:val="single" w:sz="4" w:space="0" w:color="auto"/>
              <w:right w:val="single" w:sz="4" w:space="0" w:color="auto"/>
            </w:tcBorders>
            <w:vAlign w:val="center"/>
          </w:tcPr>
          <w:p w14:paraId="10245EEC" w14:textId="414327DB" w:rsidR="0096772B" w:rsidRDefault="00C06069">
            <w:pPr>
              <w:jc w:val="center"/>
              <w:rPr>
                <w:rFonts w:asciiTheme="minorHAnsi" w:hAnsiTheme="minorHAnsi" w:cstheme="minorHAnsi"/>
              </w:rPr>
            </w:pPr>
            <w:r>
              <w:rPr>
                <w:rFonts w:asciiTheme="minorHAnsi" w:hAnsiTheme="minorHAnsi" w:cstheme="minorHAnsi"/>
              </w:rPr>
              <w:t>x</w:t>
            </w:r>
          </w:p>
        </w:tc>
        <w:tc>
          <w:tcPr>
            <w:tcW w:w="1600" w:type="dxa"/>
            <w:vMerge w:val="restart"/>
            <w:tcBorders>
              <w:top w:val="single" w:sz="4" w:space="0" w:color="auto"/>
              <w:left w:val="single" w:sz="4" w:space="0" w:color="auto"/>
              <w:bottom w:val="single" w:sz="4" w:space="0" w:color="auto"/>
              <w:right w:val="single" w:sz="4" w:space="0" w:color="auto"/>
            </w:tcBorders>
            <w:vAlign w:val="center"/>
            <w:hideMark/>
          </w:tcPr>
          <w:p w14:paraId="5E5A4598" w14:textId="77777777" w:rsidR="0096772B" w:rsidRDefault="0096772B">
            <w:pPr>
              <w:jc w:val="center"/>
              <w:rPr>
                <w:rFonts w:asciiTheme="minorHAnsi" w:hAnsiTheme="minorHAnsi" w:cstheme="minorHAnsi"/>
              </w:rPr>
            </w:pPr>
            <w:r>
              <w:rPr>
                <w:rFonts w:asciiTheme="minorHAnsi" w:hAnsiTheme="minorHAnsi" w:cstheme="minorHAnsi"/>
              </w:rPr>
              <w:t>x</w:t>
            </w:r>
          </w:p>
        </w:tc>
        <w:tc>
          <w:tcPr>
            <w:tcW w:w="1729" w:type="dxa"/>
            <w:vMerge w:val="restart"/>
            <w:tcBorders>
              <w:top w:val="single" w:sz="4" w:space="0" w:color="auto"/>
              <w:left w:val="single" w:sz="4" w:space="0" w:color="auto"/>
              <w:bottom w:val="single" w:sz="4" w:space="0" w:color="auto"/>
              <w:right w:val="single" w:sz="4" w:space="0" w:color="auto"/>
            </w:tcBorders>
            <w:vAlign w:val="center"/>
          </w:tcPr>
          <w:p w14:paraId="482CCB75" w14:textId="77777777" w:rsidR="0096772B" w:rsidRDefault="0096772B">
            <w:pPr>
              <w:jc w:val="center"/>
              <w:rPr>
                <w:rFonts w:asciiTheme="minorHAnsi" w:hAnsiTheme="minorHAnsi" w:cstheme="minorHAnsi"/>
              </w:rPr>
            </w:pPr>
          </w:p>
        </w:tc>
      </w:tr>
      <w:tr w:rsidR="0096772B" w14:paraId="4B17440D" w14:textId="77777777" w:rsidTr="00C06069">
        <w:trPr>
          <w:trHeight w:val="1044"/>
        </w:trPr>
        <w:tc>
          <w:tcPr>
            <w:tcW w:w="8080" w:type="dxa"/>
            <w:tcBorders>
              <w:top w:val="single" w:sz="4" w:space="0" w:color="auto"/>
              <w:left w:val="single" w:sz="4" w:space="0" w:color="auto"/>
              <w:bottom w:val="single" w:sz="4" w:space="0" w:color="auto"/>
              <w:right w:val="single" w:sz="4" w:space="0" w:color="auto"/>
            </w:tcBorders>
          </w:tcPr>
          <w:p w14:paraId="4DF31606" w14:textId="77777777" w:rsidR="00C06069" w:rsidRPr="00C06069" w:rsidRDefault="00C06069" w:rsidP="00C06069">
            <w:pPr>
              <w:rPr>
                <w:rFonts w:asciiTheme="minorHAnsi" w:hAnsiTheme="minorHAnsi" w:cstheme="minorHAnsi"/>
                <w:bCs/>
              </w:rPr>
            </w:pPr>
            <w:r w:rsidRPr="00C06069">
              <w:rPr>
                <w:rFonts w:asciiTheme="minorHAnsi" w:hAnsiTheme="minorHAnsi" w:cstheme="minorHAnsi"/>
                <w:bCs/>
              </w:rPr>
              <w:t>OA 05</w:t>
            </w:r>
          </w:p>
          <w:p w14:paraId="6357CF76" w14:textId="746A2473" w:rsidR="0096772B" w:rsidRDefault="00C06069">
            <w:pPr>
              <w:rPr>
                <w:rFonts w:asciiTheme="minorHAnsi" w:hAnsiTheme="minorHAnsi" w:cstheme="minorHAnsi"/>
                <w:bCs/>
              </w:rPr>
            </w:pPr>
            <w:r w:rsidRPr="00C06069">
              <w:rPr>
                <w:rFonts w:asciiTheme="minorHAnsi" w:hAnsiTheme="minorHAnsi" w:cstheme="minorHAnsi"/>
                <w:bCs/>
              </w:rPr>
              <w:t>Analizar la crisis del sistema político del periodo parlamentario y la posterior reconstrucción de la institucionalidad por medio de la Constitución de 1925, del fortalecimiento del régimen presidencial y de la reforma del sistema de partidos.</w:t>
            </w:r>
          </w:p>
        </w:tc>
        <w:tc>
          <w:tcPr>
            <w:tcW w:w="2026" w:type="dxa"/>
            <w:vMerge/>
            <w:tcBorders>
              <w:top w:val="single" w:sz="4" w:space="0" w:color="auto"/>
              <w:left w:val="single" w:sz="4" w:space="0" w:color="auto"/>
              <w:bottom w:val="single" w:sz="4" w:space="0" w:color="auto"/>
              <w:right w:val="single" w:sz="4" w:space="0" w:color="auto"/>
            </w:tcBorders>
            <w:vAlign w:val="center"/>
          </w:tcPr>
          <w:p w14:paraId="3ABEBC3B" w14:textId="77777777" w:rsidR="0096772B" w:rsidRDefault="0096772B">
            <w:pPr>
              <w:rPr>
                <w:rFonts w:asciiTheme="minorHAnsi" w:hAnsiTheme="minorHAnsi" w:cstheme="minorHAnsi"/>
                <w:kern w:val="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247FF85" w14:textId="77777777" w:rsidR="0096772B" w:rsidRDefault="0096772B">
            <w:pPr>
              <w:rPr>
                <w:rFonts w:asciiTheme="minorHAnsi" w:hAnsiTheme="minorHAnsi" w:cstheme="minorHAnsi"/>
                <w:kern w:val="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5F227438" w14:textId="77777777" w:rsidR="0096772B" w:rsidRDefault="0096772B">
            <w:pPr>
              <w:rPr>
                <w:rFonts w:asciiTheme="minorHAnsi" w:hAnsiTheme="minorHAnsi" w:cstheme="minorHAnsi"/>
                <w:kern w:val="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47D17F8E" w14:textId="77777777" w:rsidR="0096772B" w:rsidRDefault="0096772B">
            <w:pPr>
              <w:rPr>
                <w:rFonts w:asciiTheme="minorHAnsi" w:hAnsiTheme="minorHAnsi" w:cstheme="minorHAnsi"/>
                <w:kern w:val="2"/>
                <w14:ligatures w14:val="standardContextual"/>
              </w:rPr>
            </w:pPr>
          </w:p>
        </w:tc>
      </w:tr>
      <w:tr w:rsidR="00C06069" w14:paraId="3AE0F421" w14:textId="77777777" w:rsidTr="00C06069">
        <w:trPr>
          <w:trHeight w:val="1044"/>
        </w:trPr>
        <w:tc>
          <w:tcPr>
            <w:tcW w:w="8080" w:type="dxa"/>
            <w:tcBorders>
              <w:top w:val="single" w:sz="4" w:space="0" w:color="auto"/>
              <w:left w:val="single" w:sz="4" w:space="0" w:color="auto"/>
              <w:bottom w:val="single" w:sz="4" w:space="0" w:color="auto"/>
              <w:right w:val="single" w:sz="4" w:space="0" w:color="auto"/>
            </w:tcBorders>
          </w:tcPr>
          <w:p w14:paraId="48F4D598" w14:textId="77777777" w:rsidR="00C06069" w:rsidRPr="00C06069" w:rsidRDefault="00C06069" w:rsidP="00C06069">
            <w:pPr>
              <w:rPr>
                <w:rFonts w:asciiTheme="minorHAnsi" w:hAnsiTheme="minorHAnsi" w:cstheme="minorHAnsi"/>
                <w:bCs/>
              </w:rPr>
            </w:pPr>
            <w:r w:rsidRPr="00C06069">
              <w:rPr>
                <w:rFonts w:asciiTheme="minorHAnsi" w:hAnsiTheme="minorHAnsi" w:cstheme="minorHAnsi"/>
                <w:bCs/>
              </w:rPr>
              <w:t>OA 07</w:t>
            </w:r>
          </w:p>
          <w:p w14:paraId="56C333B6" w14:textId="73B30D12" w:rsidR="00C06069" w:rsidRDefault="00C06069" w:rsidP="00C06069">
            <w:pPr>
              <w:rPr>
                <w:rFonts w:asciiTheme="minorHAnsi" w:hAnsiTheme="minorHAnsi" w:cstheme="minorHAnsi"/>
                <w:bCs/>
              </w:rPr>
            </w:pPr>
            <w:r w:rsidRPr="00C06069">
              <w:rPr>
                <w:rFonts w:asciiTheme="minorHAnsi" w:hAnsiTheme="minorHAnsi" w:cstheme="minorHAnsi"/>
                <w:bCs/>
              </w:rPr>
              <w:t>Evaluar cómo la participación de nuevos actores sociales y la expansión de la cultura de masas, a mediados de siglo XX, contribuyeron a la democratización de la sociedad chilena, considerando la incorporación de las mujeres a la ciudadanía política, el empoderamiento de la clase media y de la clase obrera, y el creciente acceso a la radio, el cine, el deporte, entre otros.</w:t>
            </w:r>
          </w:p>
        </w:tc>
        <w:tc>
          <w:tcPr>
            <w:tcW w:w="2026" w:type="dxa"/>
            <w:tcBorders>
              <w:top w:val="single" w:sz="4" w:space="0" w:color="auto"/>
              <w:left w:val="single" w:sz="4" w:space="0" w:color="auto"/>
              <w:bottom w:val="single" w:sz="4" w:space="0" w:color="auto"/>
              <w:right w:val="single" w:sz="4" w:space="0" w:color="auto"/>
            </w:tcBorders>
            <w:vAlign w:val="center"/>
          </w:tcPr>
          <w:p w14:paraId="19A3C109" w14:textId="38879614" w:rsidR="00C06069" w:rsidRDefault="00C06069" w:rsidP="00C06069">
            <w:pPr>
              <w:jc w:val="center"/>
              <w:rPr>
                <w:rFonts w:asciiTheme="minorHAnsi" w:hAnsiTheme="minorHAnsi" w:cstheme="minorHAnsi"/>
                <w:kern w:val="2"/>
                <w14:ligatures w14:val="standardContextual"/>
              </w:rPr>
            </w:pPr>
            <w:r>
              <w:rPr>
                <w:rFonts w:asciiTheme="minorHAnsi" w:hAnsiTheme="minorHAnsi" w:cstheme="minorHAnsi"/>
                <w:kern w:val="2"/>
                <w14:ligatures w14:val="standardContextual"/>
              </w:rPr>
              <w:t>7 de julio al 1 de agosto</w:t>
            </w:r>
          </w:p>
        </w:tc>
        <w:tc>
          <w:tcPr>
            <w:tcW w:w="0" w:type="auto"/>
            <w:tcBorders>
              <w:top w:val="single" w:sz="4" w:space="0" w:color="auto"/>
              <w:left w:val="single" w:sz="4" w:space="0" w:color="auto"/>
              <w:bottom w:val="single" w:sz="4" w:space="0" w:color="auto"/>
              <w:right w:val="single" w:sz="4" w:space="0" w:color="auto"/>
            </w:tcBorders>
            <w:vAlign w:val="center"/>
          </w:tcPr>
          <w:p w14:paraId="3A3129AC" w14:textId="29DEEEA7" w:rsidR="00C06069" w:rsidRDefault="00C06069">
            <w:pPr>
              <w:rPr>
                <w:rFonts w:asciiTheme="minorHAnsi" w:hAnsiTheme="minorHAnsi" w:cstheme="minorHAnsi"/>
                <w:kern w:val="2"/>
                <w14:ligatures w14:val="standardContextual"/>
              </w:rPr>
            </w:pPr>
            <w:r>
              <w:rPr>
                <w:rFonts w:asciiTheme="minorHAnsi" w:hAnsiTheme="minorHAnsi" w:cstheme="minorHAnsi"/>
                <w:kern w:val="2"/>
                <w14:ligatures w14:val="standardContextual"/>
              </w:rPr>
              <w:t xml:space="preserve">          x</w:t>
            </w:r>
          </w:p>
        </w:tc>
        <w:tc>
          <w:tcPr>
            <w:tcW w:w="0" w:type="auto"/>
            <w:tcBorders>
              <w:top w:val="single" w:sz="4" w:space="0" w:color="auto"/>
              <w:left w:val="single" w:sz="4" w:space="0" w:color="auto"/>
              <w:bottom w:val="single" w:sz="4" w:space="0" w:color="auto"/>
              <w:right w:val="single" w:sz="4" w:space="0" w:color="auto"/>
            </w:tcBorders>
            <w:vAlign w:val="center"/>
          </w:tcPr>
          <w:p w14:paraId="0B187631" w14:textId="2C39F326" w:rsidR="00C06069" w:rsidRDefault="00C06069" w:rsidP="00C06069">
            <w:pPr>
              <w:jc w:val="center"/>
              <w:rPr>
                <w:rFonts w:asciiTheme="minorHAnsi" w:hAnsiTheme="minorHAnsi" w:cstheme="minorHAnsi"/>
                <w:kern w:val="2"/>
                <w14:ligatures w14:val="standardContextual"/>
              </w:rPr>
            </w:pPr>
            <w:r>
              <w:rPr>
                <w:rFonts w:asciiTheme="minorHAnsi" w:hAnsiTheme="minorHAnsi" w:cstheme="minorHAnsi"/>
                <w:kern w:val="2"/>
                <w14:ligatures w14:val="standardContextual"/>
              </w:rPr>
              <w:t>x</w:t>
            </w:r>
          </w:p>
        </w:tc>
        <w:tc>
          <w:tcPr>
            <w:tcW w:w="0" w:type="auto"/>
            <w:tcBorders>
              <w:top w:val="single" w:sz="4" w:space="0" w:color="auto"/>
              <w:left w:val="single" w:sz="4" w:space="0" w:color="auto"/>
              <w:bottom w:val="single" w:sz="4" w:space="0" w:color="auto"/>
              <w:right w:val="single" w:sz="4" w:space="0" w:color="auto"/>
            </w:tcBorders>
            <w:vAlign w:val="center"/>
          </w:tcPr>
          <w:p w14:paraId="447AECF3" w14:textId="77777777" w:rsidR="00C06069" w:rsidRDefault="00C06069">
            <w:pPr>
              <w:rPr>
                <w:rFonts w:asciiTheme="minorHAnsi" w:hAnsiTheme="minorHAnsi" w:cstheme="minorHAnsi"/>
                <w:kern w:val="2"/>
                <w14:ligatures w14:val="standardContextual"/>
              </w:rPr>
            </w:pPr>
          </w:p>
        </w:tc>
      </w:tr>
      <w:tr w:rsidR="00C06069" w14:paraId="0A8B6017" w14:textId="77777777" w:rsidTr="00C06069">
        <w:trPr>
          <w:trHeight w:val="777"/>
        </w:trPr>
        <w:tc>
          <w:tcPr>
            <w:tcW w:w="8080" w:type="dxa"/>
            <w:tcBorders>
              <w:top w:val="single" w:sz="4" w:space="0" w:color="auto"/>
              <w:left w:val="single" w:sz="4" w:space="0" w:color="auto"/>
              <w:bottom w:val="single" w:sz="4" w:space="0" w:color="auto"/>
              <w:right w:val="single" w:sz="4" w:space="0" w:color="auto"/>
            </w:tcBorders>
          </w:tcPr>
          <w:p w14:paraId="4C10D034" w14:textId="77777777" w:rsidR="00C06069" w:rsidRPr="00C06069" w:rsidRDefault="00C06069" w:rsidP="00C06069">
            <w:pPr>
              <w:rPr>
                <w:rFonts w:asciiTheme="minorHAnsi" w:hAnsiTheme="minorHAnsi" w:cstheme="minorHAnsi"/>
                <w:bCs/>
              </w:rPr>
            </w:pPr>
            <w:r w:rsidRPr="00C06069">
              <w:rPr>
                <w:rFonts w:asciiTheme="minorHAnsi" w:hAnsiTheme="minorHAnsi" w:cstheme="minorHAnsi"/>
                <w:bCs/>
              </w:rPr>
              <w:t>OA 08</w:t>
            </w:r>
          </w:p>
          <w:p w14:paraId="33355D4D" w14:textId="77777777" w:rsidR="00A126EC" w:rsidRDefault="00C06069" w:rsidP="00C06069">
            <w:pPr>
              <w:rPr>
                <w:rFonts w:asciiTheme="minorHAnsi" w:hAnsiTheme="minorHAnsi" w:cstheme="minorHAnsi"/>
                <w:bCs/>
              </w:rPr>
            </w:pPr>
            <w:r w:rsidRPr="00C06069">
              <w:rPr>
                <w:rFonts w:asciiTheme="minorHAnsi" w:hAnsiTheme="minorHAnsi" w:cstheme="minorHAnsi"/>
                <w:bCs/>
              </w:rPr>
              <w:t xml:space="preserve">Analizar la Guerra Fría como la confrontación ideológica de dos proyectos antagónicos que, bajo la amenaza del enfrentamiento nuclear, se manifestó en </w:t>
            </w:r>
          </w:p>
          <w:p w14:paraId="523D71DC" w14:textId="21492432" w:rsidR="00C06069" w:rsidRDefault="00C06069" w:rsidP="00C06069">
            <w:pPr>
              <w:rPr>
                <w:rFonts w:asciiTheme="minorHAnsi" w:hAnsiTheme="minorHAnsi" w:cstheme="minorHAnsi"/>
                <w:bCs/>
              </w:rPr>
            </w:pPr>
            <w:r w:rsidRPr="00C06069">
              <w:rPr>
                <w:rFonts w:asciiTheme="minorHAnsi" w:hAnsiTheme="minorHAnsi" w:cstheme="minorHAnsi"/>
                <w:bCs/>
              </w:rPr>
              <w:t>distintos escenarios locales, y dar ejemplos de cómo afectó diversas esferas, como la política, la cultura, el deporte y las ciencias</w:t>
            </w:r>
            <w:r w:rsidR="00A126EC">
              <w:rPr>
                <w:rFonts w:asciiTheme="minorHAnsi" w:hAnsiTheme="minorHAnsi" w:cstheme="minorHAnsi"/>
                <w:bCs/>
              </w:rPr>
              <w:t>.</w:t>
            </w:r>
          </w:p>
        </w:tc>
        <w:tc>
          <w:tcPr>
            <w:tcW w:w="2026" w:type="dxa"/>
            <w:tcBorders>
              <w:top w:val="single" w:sz="4" w:space="0" w:color="auto"/>
              <w:left w:val="single" w:sz="4" w:space="0" w:color="auto"/>
              <w:bottom w:val="single" w:sz="4" w:space="0" w:color="auto"/>
              <w:right w:val="single" w:sz="4" w:space="0" w:color="auto"/>
            </w:tcBorders>
            <w:vAlign w:val="center"/>
          </w:tcPr>
          <w:p w14:paraId="1A45E2A9" w14:textId="1ED0C163" w:rsidR="00C06069" w:rsidRDefault="00C06069">
            <w:pPr>
              <w:jc w:val="center"/>
              <w:rPr>
                <w:rFonts w:asciiTheme="minorHAnsi" w:hAnsiTheme="minorHAnsi" w:cstheme="minorHAnsi"/>
              </w:rPr>
            </w:pPr>
            <w:r>
              <w:rPr>
                <w:rFonts w:asciiTheme="minorHAnsi" w:hAnsiTheme="minorHAnsi" w:cstheme="minorHAnsi"/>
              </w:rPr>
              <w:t>4 al 29 de agosto</w:t>
            </w:r>
          </w:p>
        </w:tc>
        <w:tc>
          <w:tcPr>
            <w:tcW w:w="1449" w:type="dxa"/>
            <w:tcBorders>
              <w:top w:val="single" w:sz="4" w:space="0" w:color="auto"/>
              <w:left w:val="single" w:sz="4" w:space="0" w:color="auto"/>
              <w:bottom w:val="single" w:sz="4" w:space="0" w:color="auto"/>
              <w:right w:val="single" w:sz="4" w:space="0" w:color="auto"/>
            </w:tcBorders>
            <w:vAlign w:val="center"/>
          </w:tcPr>
          <w:p w14:paraId="061529CA" w14:textId="77777777" w:rsidR="00C06069" w:rsidRDefault="00C06069">
            <w:pPr>
              <w:jc w:val="center"/>
              <w:rPr>
                <w:rFonts w:asciiTheme="minorHAnsi" w:hAnsiTheme="minorHAnsi" w:cstheme="minorHAnsi"/>
              </w:rPr>
            </w:pPr>
          </w:p>
        </w:tc>
        <w:tc>
          <w:tcPr>
            <w:tcW w:w="1600" w:type="dxa"/>
            <w:tcBorders>
              <w:top w:val="single" w:sz="4" w:space="0" w:color="auto"/>
              <w:left w:val="single" w:sz="4" w:space="0" w:color="auto"/>
              <w:bottom w:val="single" w:sz="4" w:space="0" w:color="auto"/>
              <w:right w:val="single" w:sz="4" w:space="0" w:color="auto"/>
            </w:tcBorders>
            <w:vAlign w:val="center"/>
          </w:tcPr>
          <w:p w14:paraId="74F0ED4A" w14:textId="49E7D694" w:rsidR="00C06069" w:rsidRDefault="00C06069">
            <w:pPr>
              <w:jc w:val="center"/>
              <w:rPr>
                <w:rFonts w:asciiTheme="minorHAnsi" w:hAnsiTheme="minorHAnsi" w:cstheme="minorHAnsi"/>
              </w:rPr>
            </w:pPr>
            <w:r>
              <w:rPr>
                <w:rFonts w:asciiTheme="minorHAnsi" w:hAnsiTheme="minorHAnsi" w:cstheme="minorHAnsi"/>
              </w:rPr>
              <w:t>x</w:t>
            </w:r>
          </w:p>
        </w:tc>
        <w:tc>
          <w:tcPr>
            <w:tcW w:w="1729" w:type="dxa"/>
            <w:tcBorders>
              <w:top w:val="single" w:sz="4" w:space="0" w:color="auto"/>
              <w:left w:val="single" w:sz="4" w:space="0" w:color="auto"/>
              <w:bottom w:val="single" w:sz="4" w:space="0" w:color="auto"/>
              <w:right w:val="single" w:sz="4" w:space="0" w:color="auto"/>
            </w:tcBorders>
            <w:vAlign w:val="center"/>
          </w:tcPr>
          <w:p w14:paraId="59CC37F4" w14:textId="687645A5" w:rsidR="00C06069" w:rsidRDefault="00C06069">
            <w:pPr>
              <w:jc w:val="center"/>
              <w:rPr>
                <w:rFonts w:asciiTheme="minorHAnsi" w:hAnsiTheme="minorHAnsi" w:cstheme="minorHAnsi"/>
              </w:rPr>
            </w:pPr>
            <w:r>
              <w:rPr>
                <w:rFonts w:asciiTheme="minorHAnsi" w:hAnsiTheme="minorHAnsi" w:cstheme="minorHAnsi"/>
              </w:rPr>
              <w:t>x</w:t>
            </w:r>
          </w:p>
        </w:tc>
      </w:tr>
      <w:tr w:rsidR="0096772B" w14:paraId="13250462" w14:textId="77777777" w:rsidTr="00C06069">
        <w:trPr>
          <w:trHeight w:val="777"/>
        </w:trPr>
        <w:tc>
          <w:tcPr>
            <w:tcW w:w="8080" w:type="dxa"/>
            <w:tcBorders>
              <w:top w:val="single" w:sz="4" w:space="0" w:color="auto"/>
              <w:left w:val="single" w:sz="4" w:space="0" w:color="auto"/>
              <w:bottom w:val="single" w:sz="4" w:space="0" w:color="auto"/>
              <w:right w:val="single" w:sz="4" w:space="0" w:color="auto"/>
            </w:tcBorders>
            <w:hideMark/>
          </w:tcPr>
          <w:p w14:paraId="256CD994" w14:textId="77777777" w:rsidR="0096772B" w:rsidRDefault="0096772B">
            <w:pPr>
              <w:rPr>
                <w:rFonts w:asciiTheme="minorHAnsi" w:hAnsiTheme="minorHAnsi" w:cstheme="minorHAnsi"/>
                <w:bCs/>
              </w:rPr>
            </w:pPr>
            <w:r>
              <w:rPr>
                <w:rFonts w:asciiTheme="minorHAnsi" w:hAnsiTheme="minorHAnsi" w:cstheme="minorHAnsi"/>
                <w:bCs/>
              </w:rPr>
              <w:lastRenderedPageBreak/>
              <w:t>OA 10</w:t>
            </w:r>
          </w:p>
          <w:p w14:paraId="24D8B5B1" w14:textId="7FBA3414" w:rsidR="0096772B" w:rsidRDefault="0096772B">
            <w:pPr>
              <w:rPr>
                <w:rFonts w:asciiTheme="minorHAnsi" w:hAnsiTheme="minorHAnsi" w:cstheme="minorHAnsi"/>
                <w:bCs/>
              </w:rPr>
            </w:pPr>
            <w:r w:rsidRPr="0096772B">
              <w:rPr>
                <w:rFonts w:asciiTheme="minorHAnsi" w:hAnsiTheme="minorHAnsi" w:cstheme="minorHAnsi"/>
                <w:bCs/>
              </w:rPr>
              <w:t>Caracterizar el contexto de movilización social en América Latina como un escenario de tensión permanente entre revolución y reforma, considerando la Revolución cubana, la influencia de Estados Unidos, los golpes de Estado, las dictaduras militares (por ejemplo, Argentina, Chile, Brasil, Uruguay y Paraguay, entre otros) y la violación de los derechos humanos</w:t>
            </w:r>
          </w:p>
        </w:tc>
        <w:tc>
          <w:tcPr>
            <w:tcW w:w="2026" w:type="dxa"/>
            <w:tcBorders>
              <w:top w:val="single" w:sz="4" w:space="0" w:color="auto"/>
              <w:left w:val="single" w:sz="4" w:space="0" w:color="auto"/>
              <w:bottom w:val="single" w:sz="4" w:space="0" w:color="auto"/>
              <w:right w:val="single" w:sz="4" w:space="0" w:color="auto"/>
            </w:tcBorders>
            <w:vAlign w:val="center"/>
          </w:tcPr>
          <w:p w14:paraId="28BF0352" w14:textId="0EBB2A3A" w:rsidR="0096772B" w:rsidRDefault="00C06069" w:rsidP="00A126EC">
            <w:pPr>
              <w:jc w:val="center"/>
              <w:rPr>
                <w:rFonts w:asciiTheme="minorHAnsi" w:hAnsiTheme="minorHAnsi" w:cstheme="minorHAnsi"/>
              </w:rPr>
            </w:pPr>
            <w:r>
              <w:rPr>
                <w:rFonts w:asciiTheme="minorHAnsi" w:hAnsiTheme="minorHAnsi" w:cstheme="minorHAnsi"/>
              </w:rPr>
              <w:t>1 de septiembre al 3 de octubre</w:t>
            </w:r>
          </w:p>
        </w:tc>
        <w:tc>
          <w:tcPr>
            <w:tcW w:w="1449" w:type="dxa"/>
            <w:tcBorders>
              <w:top w:val="single" w:sz="4" w:space="0" w:color="auto"/>
              <w:left w:val="single" w:sz="4" w:space="0" w:color="auto"/>
              <w:bottom w:val="single" w:sz="4" w:space="0" w:color="auto"/>
              <w:right w:val="single" w:sz="4" w:space="0" w:color="auto"/>
            </w:tcBorders>
            <w:vAlign w:val="center"/>
            <w:hideMark/>
          </w:tcPr>
          <w:p w14:paraId="42EF2739" w14:textId="77777777" w:rsidR="0096772B" w:rsidRDefault="0096772B">
            <w:pPr>
              <w:jc w:val="center"/>
              <w:rPr>
                <w:rFonts w:asciiTheme="minorHAnsi" w:hAnsiTheme="minorHAnsi" w:cstheme="minorHAnsi"/>
              </w:rPr>
            </w:pPr>
            <w:r>
              <w:rPr>
                <w:rFonts w:asciiTheme="minorHAnsi" w:hAnsiTheme="minorHAnsi" w:cstheme="minorHAnsi"/>
              </w:rPr>
              <w:t>x</w:t>
            </w:r>
          </w:p>
        </w:tc>
        <w:tc>
          <w:tcPr>
            <w:tcW w:w="1600" w:type="dxa"/>
            <w:tcBorders>
              <w:top w:val="single" w:sz="4" w:space="0" w:color="auto"/>
              <w:left w:val="single" w:sz="4" w:space="0" w:color="auto"/>
              <w:bottom w:val="single" w:sz="4" w:space="0" w:color="auto"/>
              <w:right w:val="single" w:sz="4" w:space="0" w:color="auto"/>
            </w:tcBorders>
            <w:vAlign w:val="center"/>
            <w:hideMark/>
          </w:tcPr>
          <w:p w14:paraId="6BC085A7" w14:textId="77777777" w:rsidR="0096772B" w:rsidRDefault="0096772B">
            <w:pPr>
              <w:jc w:val="center"/>
              <w:rPr>
                <w:rFonts w:asciiTheme="minorHAnsi" w:hAnsiTheme="minorHAnsi" w:cstheme="minorHAnsi"/>
              </w:rPr>
            </w:pPr>
            <w:r>
              <w:rPr>
                <w:rFonts w:asciiTheme="minorHAnsi" w:hAnsiTheme="minorHAnsi" w:cstheme="minorHAnsi"/>
              </w:rPr>
              <w:t>x</w:t>
            </w:r>
          </w:p>
        </w:tc>
        <w:tc>
          <w:tcPr>
            <w:tcW w:w="1729" w:type="dxa"/>
            <w:tcBorders>
              <w:top w:val="single" w:sz="4" w:space="0" w:color="auto"/>
              <w:left w:val="single" w:sz="4" w:space="0" w:color="auto"/>
              <w:bottom w:val="single" w:sz="4" w:space="0" w:color="auto"/>
              <w:right w:val="single" w:sz="4" w:space="0" w:color="auto"/>
            </w:tcBorders>
            <w:vAlign w:val="center"/>
          </w:tcPr>
          <w:p w14:paraId="53D4509A" w14:textId="05F275FC" w:rsidR="0096772B" w:rsidRDefault="00A126EC">
            <w:pPr>
              <w:jc w:val="center"/>
              <w:rPr>
                <w:rFonts w:asciiTheme="minorHAnsi" w:hAnsiTheme="minorHAnsi" w:cstheme="minorHAnsi"/>
              </w:rPr>
            </w:pPr>
            <w:r>
              <w:rPr>
                <w:rFonts w:asciiTheme="minorHAnsi" w:hAnsiTheme="minorHAnsi" w:cstheme="minorHAnsi"/>
              </w:rPr>
              <w:t>x</w:t>
            </w:r>
          </w:p>
        </w:tc>
      </w:tr>
      <w:tr w:rsidR="0096772B" w14:paraId="392D7721" w14:textId="77777777" w:rsidTr="00C06069">
        <w:trPr>
          <w:trHeight w:val="557"/>
        </w:trPr>
        <w:tc>
          <w:tcPr>
            <w:tcW w:w="8080" w:type="dxa"/>
            <w:tcBorders>
              <w:top w:val="single" w:sz="4" w:space="0" w:color="auto"/>
              <w:left w:val="single" w:sz="4" w:space="0" w:color="auto"/>
              <w:bottom w:val="single" w:sz="4" w:space="0" w:color="auto"/>
              <w:right w:val="single" w:sz="4" w:space="0" w:color="auto"/>
            </w:tcBorders>
            <w:hideMark/>
          </w:tcPr>
          <w:p w14:paraId="0E25CE50" w14:textId="4A84A97A" w:rsidR="0096772B" w:rsidRDefault="0096772B">
            <w:pPr>
              <w:rPr>
                <w:rFonts w:asciiTheme="minorHAnsi" w:hAnsiTheme="minorHAnsi" w:cstheme="minorHAnsi"/>
                <w:bCs/>
              </w:rPr>
            </w:pPr>
            <w:r>
              <w:rPr>
                <w:rFonts w:asciiTheme="minorHAnsi" w:hAnsiTheme="minorHAnsi" w:cstheme="minorHAnsi"/>
                <w:bCs/>
              </w:rPr>
              <w:t>OA 11</w:t>
            </w:r>
          </w:p>
          <w:p w14:paraId="5B689B11" w14:textId="0297FA4B" w:rsidR="0096772B" w:rsidRDefault="0096772B">
            <w:pPr>
              <w:rPr>
                <w:rFonts w:asciiTheme="minorHAnsi" w:hAnsiTheme="minorHAnsi" w:cstheme="minorHAnsi"/>
                <w:bCs/>
              </w:rPr>
            </w:pPr>
            <w:r w:rsidRPr="0096772B">
              <w:rPr>
                <w:rFonts w:asciiTheme="minorHAnsi" w:hAnsiTheme="minorHAnsi" w:cstheme="minorHAnsi"/>
                <w:bCs/>
              </w:rPr>
              <w:t>Analizar los principales procesos que marcaron el fin de la Guerra Fría, considerando la crisis de la URSS y el derrumbe del comunismo, las transformaciones geopolíticas, el auge del neoliberalismo y la aceleración de la globalización (por ejemplo, la internacionalización de la economía, la revolución tecnológica, la sociedad de la información).</w:t>
            </w:r>
          </w:p>
        </w:tc>
        <w:tc>
          <w:tcPr>
            <w:tcW w:w="2026" w:type="dxa"/>
            <w:tcBorders>
              <w:top w:val="single" w:sz="4" w:space="0" w:color="auto"/>
              <w:left w:val="single" w:sz="4" w:space="0" w:color="auto"/>
              <w:bottom w:val="single" w:sz="4" w:space="0" w:color="auto"/>
              <w:right w:val="single" w:sz="4" w:space="0" w:color="auto"/>
            </w:tcBorders>
            <w:vAlign w:val="center"/>
          </w:tcPr>
          <w:p w14:paraId="5711CA5E" w14:textId="788964AA" w:rsidR="0096772B" w:rsidRDefault="00C06069" w:rsidP="00A126EC">
            <w:pPr>
              <w:jc w:val="center"/>
              <w:rPr>
                <w:rFonts w:asciiTheme="minorHAnsi" w:hAnsiTheme="minorHAnsi" w:cstheme="minorHAnsi"/>
              </w:rPr>
            </w:pPr>
            <w:r>
              <w:rPr>
                <w:rFonts w:asciiTheme="minorHAnsi" w:hAnsiTheme="minorHAnsi" w:cstheme="minorHAnsi"/>
              </w:rPr>
              <w:t>1 de septiembre al 3 de octubre</w:t>
            </w:r>
          </w:p>
        </w:tc>
        <w:tc>
          <w:tcPr>
            <w:tcW w:w="1449" w:type="dxa"/>
            <w:tcBorders>
              <w:top w:val="single" w:sz="4" w:space="0" w:color="auto"/>
              <w:left w:val="single" w:sz="4" w:space="0" w:color="auto"/>
              <w:bottom w:val="single" w:sz="4" w:space="0" w:color="auto"/>
              <w:right w:val="single" w:sz="4" w:space="0" w:color="auto"/>
            </w:tcBorders>
            <w:vAlign w:val="center"/>
          </w:tcPr>
          <w:p w14:paraId="608D6744" w14:textId="5BD66B35" w:rsidR="0096772B" w:rsidRDefault="00C06069">
            <w:pPr>
              <w:jc w:val="center"/>
              <w:rPr>
                <w:rFonts w:asciiTheme="minorHAnsi" w:hAnsiTheme="minorHAnsi" w:cstheme="minorHAnsi"/>
              </w:rPr>
            </w:pPr>
            <w:r>
              <w:rPr>
                <w:rFonts w:asciiTheme="minorHAnsi" w:hAnsiTheme="minorHAnsi" w:cstheme="minorHAnsi"/>
              </w:rPr>
              <w:t>x</w:t>
            </w:r>
          </w:p>
        </w:tc>
        <w:tc>
          <w:tcPr>
            <w:tcW w:w="1600" w:type="dxa"/>
            <w:tcBorders>
              <w:top w:val="single" w:sz="4" w:space="0" w:color="auto"/>
              <w:left w:val="single" w:sz="4" w:space="0" w:color="auto"/>
              <w:bottom w:val="single" w:sz="4" w:space="0" w:color="auto"/>
              <w:right w:val="single" w:sz="4" w:space="0" w:color="auto"/>
            </w:tcBorders>
            <w:vAlign w:val="center"/>
            <w:hideMark/>
          </w:tcPr>
          <w:p w14:paraId="2BBF83DB" w14:textId="77777777" w:rsidR="0096772B" w:rsidRDefault="0096772B">
            <w:pPr>
              <w:jc w:val="center"/>
              <w:rPr>
                <w:rFonts w:asciiTheme="minorHAnsi" w:hAnsiTheme="minorHAnsi" w:cstheme="minorHAnsi"/>
              </w:rPr>
            </w:pPr>
            <w:r>
              <w:rPr>
                <w:rFonts w:asciiTheme="minorHAnsi" w:hAnsiTheme="minorHAnsi" w:cstheme="minorHAnsi"/>
              </w:rPr>
              <w:t>x</w:t>
            </w:r>
          </w:p>
        </w:tc>
        <w:tc>
          <w:tcPr>
            <w:tcW w:w="1729" w:type="dxa"/>
            <w:tcBorders>
              <w:top w:val="single" w:sz="4" w:space="0" w:color="auto"/>
              <w:left w:val="single" w:sz="4" w:space="0" w:color="auto"/>
              <w:bottom w:val="single" w:sz="4" w:space="0" w:color="auto"/>
              <w:right w:val="single" w:sz="4" w:space="0" w:color="auto"/>
            </w:tcBorders>
            <w:vAlign w:val="center"/>
            <w:hideMark/>
          </w:tcPr>
          <w:p w14:paraId="6D322E77" w14:textId="6875C041" w:rsidR="0096772B" w:rsidRDefault="0096772B">
            <w:pPr>
              <w:jc w:val="center"/>
              <w:rPr>
                <w:rFonts w:asciiTheme="minorHAnsi" w:hAnsiTheme="minorHAnsi" w:cstheme="minorHAnsi"/>
              </w:rPr>
            </w:pPr>
          </w:p>
        </w:tc>
      </w:tr>
      <w:tr w:rsidR="0096772B" w14:paraId="219BD05A" w14:textId="77777777" w:rsidTr="00C06069">
        <w:trPr>
          <w:trHeight w:val="1044"/>
        </w:trPr>
        <w:tc>
          <w:tcPr>
            <w:tcW w:w="8080" w:type="dxa"/>
            <w:tcBorders>
              <w:top w:val="single" w:sz="4" w:space="0" w:color="auto"/>
              <w:left w:val="single" w:sz="4" w:space="0" w:color="auto"/>
              <w:bottom w:val="single" w:sz="4" w:space="0" w:color="auto"/>
              <w:right w:val="single" w:sz="4" w:space="0" w:color="auto"/>
            </w:tcBorders>
            <w:hideMark/>
          </w:tcPr>
          <w:p w14:paraId="203FF60C" w14:textId="198CB5E9" w:rsidR="0096772B" w:rsidRDefault="0096772B">
            <w:pPr>
              <w:rPr>
                <w:rFonts w:asciiTheme="minorHAnsi" w:hAnsiTheme="minorHAnsi" w:cstheme="minorHAnsi"/>
                <w:bCs/>
              </w:rPr>
            </w:pPr>
            <w:r>
              <w:rPr>
                <w:rFonts w:asciiTheme="minorHAnsi" w:hAnsiTheme="minorHAnsi" w:cstheme="minorHAnsi"/>
                <w:bCs/>
              </w:rPr>
              <w:t>OA 12</w:t>
            </w:r>
          </w:p>
          <w:p w14:paraId="50CEE1A8" w14:textId="058C2915" w:rsidR="0096772B" w:rsidRDefault="0096772B">
            <w:pPr>
              <w:rPr>
                <w:rFonts w:asciiTheme="minorHAnsi" w:hAnsiTheme="minorHAnsi" w:cstheme="minorHAnsi"/>
                <w:bCs/>
              </w:rPr>
            </w:pPr>
            <w:r w:rsidRPr="0096772B">
              <w:rPr>
                <w:rFonts w:asciiTheme="minorHAnsi" w:hAnsiTheme="minorHAnsi" w:cstheme="minorHAnsi"/>
                <w:bCs/>
              </w:rPr>
              <w:t>Caracterizar la extendida pobreza y precariedad de la sociedad chilena de mediados del siglo XX (magros indicadores sociodemográficos, bajo poder adquisitivo y de acceso al crédito, desnutrición y marginalidad) y evaluar el impacto que generó en esta sociedad la migración del campo a la ciudad (por ejemplo, el progresivo crecimiento de la población urbana, la segregación urbana y la escasez de viviendas.</w:t>
            </w:r>
          </w:p>
        </w:tc>
        <w:tc>
          <w:tcPr>
            <w:tcW w:w="2026" w:type="dxa"/>
            <w:tcBorders>
              <w:top w:val="single" w:sz="4" w:space="0" w:color="auto"/>
              <w:left w:val="single" w:sz="4" w:space="0" w:color="auto"/>
              <w:bottom w:val="single" w:sz="4" w:space="0" w:color="auto"/>
              <w:right w:val="single" w:sz="4" w:space="0" w:color="auto"/>
            </w:tcBorders>
            <w:vAlign w:val="center"/>
          </w:tcPr>
          <w:p w14:paraId="2BB3C5D2" w14:textId="042FBFBA" w:rsidR="0096772B" w:rsidRDefault="00C06069" w:rsidP="00A126EC">
            <w:pPr>
              <w:jc w:val="center"/>
              <w:rPr>
                <w:rFonts w:asciiTheme="minorHAnsi" w:hAnsiTheme="minorHAnsi" w:cstheme="minorHAnsi"/>
                <w:kern w:val="2"/>
                <w14:ligatures w14:val="standardContextual"/>
              </w:rPr>
            </w:pPr>
            <w:r>
              <w:rPr>
                <w:rFonts w:asciiTheme="minorHAnsi" w:hAnsiTheme="minorHAnsi" w:cstheme="minorHAnsi"/>
                <w:kern w:val="2"/>
                <w14:ligatures w14:val="standardContextual"/>
              </w:rPr>
              <w:t>1 de septiembre al 3 de octubre</w:t>
            </w:r>
          </w:p>
        </w:tc>
        <w:tc>
          <w:tcPr>
            <w:tcW w:w="1449" w:type="dxa"/>
            <w:tcBorders>
              <w:top w:val="single" w:sz="4" w:space="0" w:color="auto"/>
              <w:left w:val="single" w:sz="4" w:space="0" w:color="auto"/>
              <w:bottom w:val="single" w:sz="4" w:space="0" w:color="auto"/>
              <w:right w:val="single" w:sz="4" w:space="0" w:color="auto"/>
            </w:tcBorders>
            <w:vAlign w:val="center"/>
          </w:tcPr>
          <w:p w14:paraId="2AB8D053" w14:textId="4BDBAE11" w:rsidR="0096772B" w:rsidRDefault="00C06069">
            <w:pPr>
              <w:jc w:val="center"/>
              <w:rPr>
                <w:rFonts w:asciiTheme="minorHAnsi" w:hAnsiTheme="minorHAnsi" w:cstheme="minorHAnsi"/>
              </w:rPr>
            </w:pPr>
            <w:r>
              <w:rPr>
                <w:rFonts w:asciiTheme="minorHAnsi" w:hAnsiTheme="minorHAnsi" w:cstheme="minorHAnsi"/>
              </w:rPr>
              <w:t>x</w:t>
            </w:r>
          </w:p>
        </w:tc>
        <w:tc>
          <w:tcPr>
            <w:tcW w:w="1600" w:type="dxa"/>
            <w:tcBorders>
              <w:top w:val="single" w:sz="4" w:space="0" w:color="auto"/>
              <w:left w:val="single" w:sz="4" w:space="0" w:color="auto"/>
              <w:bottom w:val="single" w:sz="4" w:space="0" w:color="auto"/>
              <w:right w:val="single" w:sz="4" w:space="0" w:color="auto"/>
            </w:tcBorders>
            <w:vAlign w:val="center"/>
          </w:tcPr>
          <w:p w14:paraId="0F1CBB20" w14:textId="53E7D305" w:rsidR="0096772B" w:rsidRDefault="00C06069">
            <w:pPr>
              <w:jc w:val="center"/>
              <w:rPr>
                <w:rFonts w:asciiTheme="minorHAnsi" w:hAnsiTheme="minorHAnsi" w:cstheme="minorHAnsi"/>
              </w:rPr>
            </w:pPr>
            <w:r>
              <w:rPr>
                <w:rFonts w:asciiTheme="minorHAnsi" w:hAnsiTheme="minorHAnsi" w:cstheme="minorHAnsi"/>
              </w:rPr>
              <w:t>x</w:t>
            </w:r>
          </w:p>
        </w:tc>
        <w:tc>
          <w:tcPr>
            <w:tcW w:w="1729" w:type="dxa"/>
            <w:tcBorders>
              <w:top w:val="single" w:sz="4" w:space="0" w:color="auto"/>
              <w:left w:val="single" w:sz="4" w:space="0" w:color="auto"/>
              <w:bottom w:val="single" w:sz="4" w:space="0" w:color="auto"/>
              <w:right w:val="single" w:sz="4" w:space="0" w:color="auto"/>
            </w:tcBorders>
            <w:vAlign w:val="center"/>
          </w:tcPr>
          <w:p w14:paraId="5C436C3A" w14:textId="7F973FC1" w:rsidR="0096772B" w:rsidRDefault="0096772B">
            <w:pPr>
              <w:jc w:val="center"/>
              <w:rPr>
                <w:rFonts w:asciiTheme="minorHAnsi" w:hAnsiTheme="minorHAnsi" w:cstheme="minorHAnsi"/>
              </w:rPr>
            </w:pPr>
          </w:p>
        </w:tc>
      </w:tr>
      <w:tr w:rsidR="00D63D3F" w14:paraId="766B07C5" w14:textId="77777777" w:rsidTr="00C06069">
        <w:trPr>
          <w:trHeight w:val="1044"/>
        </w:trPr>
        <w:tc>
          <w:tcPr>
            <w:tcW w:w="8080" w:type="dxa"/>
            <w:tcBorders>
              <w:top w:val="single" w:sz="4" w:space="0" w:color="auto"/>
              <w:left w:val="single" w:sz="4" w:space="0" w:color="auto"/>
              <w:bottom w:val="single" w:sz="4" w:space="0" w:color="auto"/>
              <w:right w:val="single" w:sz="4" w:space="0" w:color="auto"/>
            </w:tcBorders>
          </w:tcPr>
          <w:p w14:paraId="7E865399" w14:textId="3C972F98" w:rsidR="00D63D3F" w:rsidRPr="00D63D3F" w:rsidRDefault="00D63D3F" w:rsidP="00D63D3F">
            <w:pPr>
              <w:rPr>
                <w:rFonts w:asciiTheme="minorHAnsi" w:hAnsiTheme="minorHAnsi" w:cstheme="minorHAnsi"/>
                <w:bCs/>
              </w:rPr>
            </w:pPr>
            <w:r w:rsidRPr="00D63D3F">
              <w:rPr>
                <w:rFonts w:asciiTheme="minorHAnsi" w:hAnsiTheme="minorHAnsi" w:cstheme="minorHAnsi"/>
                <w:bCs/>
              </w:rPr>
              <w:t>OA 15</w:t>
            </w:r>
          </w:p>
          <w:p w14:paraId="20676B18" w14:textId="024217C9" w:rsidR="00D63D3F" w:rsidRDefault="00D63D3F" w:rsidP="00D63D3F">
            <w:pPr>
              <w:rPr>
                <w:rFonts w:asciiTheme="minorHAnsi" w:hAnsiTheme="minorHAnsi" w:cstheme="minorHAnsi"/>
                <w:bCs/>
              </w:rPr>
            </w:pPr>
            <w:r w:rsidRPr="00D63D3F">
              <w:rPr>
                <w:rFonts w:asciiTheme="minorHAnsi" w:hAnsiTheme="minorHAnsi" w:cstheme="minorHAnsi"/>
                <w:bCs/>
              </w:rPr>
              <w:t>Analizar y comparar críticamente distintas interpretaciones historiográficas sobre el golpe de Estado de 1973 y el quiebre de la democracia.</w:t>
            </w:r>
          </w:p>
        </w:tc>
        <w:tc>
          <w:tcPr>
            <w:tcW w:w="2026" w:type="dxa"/>
            <w:tcBorders>
              <w:top w:val="single" w:sz="4" w:space="0" w:color="auto"/>
              <w:left w:val="single" w:sz="4" w:space="0" w:color="auto"/>
              <w:bottom w:val="single" w:sz="4" w:space="0" w:color="auto"/>
              <w:right w:val="single" w:sz="4" w:space="0" w:color="auto"/>
            </w:tcBorders>
            <w:vAlign w:val="center"/>
          </w:tcPr>
          <w:p w14:paraId="3A8448B8" w14:textId="043AC856" w:rsidR="00D63D3F" w:rsidRDefault="00C06069" w:rsidP="00A126EC">
            <w:pPr>
              <w:jc w:val="center"/>
              <w:rPr>
                <w:rFonts w:asciiTheme="minorHAnsi" w:hAnsiTheme="minorHAnsi" w:cstheme="minorHAnsi"/>
                <w:kern w:val="2"/>
                <w14:ligatures w14:val="standardContextual"/>
              </w:rPr>
            </w:pPr>
            <w:r>
              <w:rPr>
                <w:rFonts w:asciiTheme="minorHAnsi" w:hAnsiTheme="minorHAnsi" w:cstheme="minorHAnsi"/>
                <w:kern w:val="2"/>
                <w14:ligatures w14:val="standardContextual"/>
              </w:rPr>
              <w:t>1 de septiembre al 3 de octubre</w:t>
            </w:r>
          </w:p>
        </w:tc>
        <w:tc>
          <w:tcPr>
            <w:tcW w:w="1449" w:type="dxa"/>
            <w:tcBorders>
              <w:top w:val="single" w:sz="4" w:space="0" w:color="auto"/>
              <w:left w:val="single" w:sz="4" w:space="0" w:color="auto"/>
              <w:bottom w:val="single" w:sz="4" w:space="0" w:color="auto"/>
              <w:right w:val="single" w:sz="4" w:space="0" w:color="auto"/>
            </w:tcBorders>
            <w:vAlign w:val="center"/>
          </w:tcPr>
          <w:p w14:paraId="7FE67BE1" w14:textId="77777777" w:rsidR="00D63D3F" w:rsidRDefault="00D63D3F">
            <w:pPr>
              <w:jc w:val="center"/>
              <w:rPr>
                <w:rFonts w:asciiTheme="minorHAnsi" w:hAnsiTheme="minorHAnsi" w:cstheme="minorHAnsi"/>
              </w:rPr>
            </w:pPr>
          </w:p>
        </w:tc>
        <w:tc>
          <w:tcPr>
            <w:tcW w:w="1600" w:type="dxa"/>
            <w:tcBorders>
              <w:top w:val="single" w:sz="4" w:space="0" w:color="auto"/>
              <w:left w:val="single" w:sz="4" w:space="0" w:color="auto"/>
              <w:bottom w:val="single" w:sz="4" w:space="0" w:color="auto"/>
              <w:right w:val="single" w:sz="4" w:space="0" w:color="auto"/>
            </w:tcBorders>
            <w:vAlign w:val="center"/>
          </w:tcPr>
          <w:p w14:paraId="482B5A0E" w14:textId="77777777" w:rsidR="00D63D3F" w:rsidRDefault="00D63D3F">
            <w:pPr>
              <w:jc w:val="center"/>
              <w:rPr>
                <w:rFonts w:asciiTheme="minorHAnsi" w:hAnsiTheme="minorHAnsi" w:cstheme="minorHAnsi"/>
              </w:rPr>
            </w:pPr>
          </w:p>
        </w:tc>
        <w:tc>
          <w:tcPr>
            <w:tcW w:w="1729" w:type="dxa"/>
            <w:tcBorders>
              <w:top w:val="single" w:sz="4" w:space="0" w:color="auto"/>
              <w:left w:val="single" w:sz="4" w:space="0" w:color="auto"/>
              <w:bottom w:val="single" w:sz="4" w:space="0" w:color="auto"/>
              <w:right w:val="single" w:sz="4" w:space="0" w:color="auto"/>
            </w:tcBorders>
            <w:vAlign w:val="center"/>
          </w:tcPr>
          <w:p w14:paraId="422A938B" w14:textId="5E244888" w:rsidR="00D63D3F" w:rsidRDefault="00C06069">
            <w:pPr>
              <w:jc w:val="center"/>
              <w:rPr>
                <w:rFonts w:asciiTheme="minorHAnsi" w:hAnsiTheme="minorHAnsi" w:cstheme="minorHAnsi"/>
              </w:rPr>
            </w:pPr>
            <w:r>
              <w:rPr>
                <w:rFonts w:asciiTheme="minorHAnsi" w:hAnsiTheme="minorHAnsi" w:cstheme="minorHAnsi"/>
              </w:rPr>
              <w:t>x</w:t>
            </w:r>
          </w:p>
        </w:tc>
      </w:tr>
      <w:tr w:rsidR="0096772B" w14:paraId="36A05FBC" w14:textId="77777777" w:rsidTr="00C06069">
        <w:trPr>
          <w:trHeight w:val="520"/>
        </w:trPr>
        <w:tc>
          <w:tcPr>
            <w:tcW w:w="8080" w:type="dxa"/>
            <w:tcBorders>
              <w:top w:val="single" w:sz="4" w:space="0" w:color="auto"/>
              <w:left w:val="single" w:sz="4" w:space="0" w:color="auto"/>
              <w:bottom w:val="single" w:sz="4" w:space="0" w:color="auto"/>
              <w:right w:val="single" w:sz="4" w:space="0" w:color="auto"/>
            </w:tcBorders>
            <w:hideMark/>
          </w:tcPr>
          <w:p w14:paraId="21A50F97" w14:textId="2981B8A4" w:rsidR="0096772B" w:rsidRPr="00D63D3F" w:rsidRDefault="00D63D3F">
            <w:pPr>
              <w:rPr>
                <w:rFonts w:asciiTheme="minorHAnsi" w:hAnsiTheme="minorHAnsi" w:cstheme="minorHAnsi"/>
                <w:b/>
                <w:i/>
                <w:iCs/>
                <w:lang w:val="es-CL"/>
              </w:rPr>
            </w:pPr>
            <w:r w:rsidRPr="00D63D3F">
              <w:rPr>
                <w:rFonts w:asciiTheme="minorHAnsi" w:hAnsiTheme="minorHAnsi" w:cstheme="minorHAnsi"/>
                <w:b/>
                <w:i/>
                <w:iCs/>
                <w:lang w:val="es-CL"/>
              </w:rPr>
              <w:t>Unidad 3: Dictadura militar, transición política y los desafíos de la democracia en Chile</w:t>
            </w:r>
          </w:p>
        </w:tc>
        <w:tc>
          <w:tcPr>
            <w:tcW w:w="2026" w:type="dxa"/>
            <w:vMerge w:val="restart"/>
            <w:tcBorders>
              <w:top w:val="single" w:sz="4" w:space="0" w:color="auto"/>
              <w:left w:val="single" w:sz="4" w:space="0" w:color="auto"/>
              <w:bottom w:val="single" w:sz="4" w:space="0" w:color="auto"/>
              <w:right w:val="single" w:sz="4" w:space="0" w:color="auto"/>
            </w:tcBorders>
            <w:vAlign w:val="center"/>
          </w:tcPr>
          <w:p w14:paraId="5453DCFC" w14:textId="5B5049D1" w:rsidR="0096772B" w:rsidRDefault="00A126EC">
            <w:pPr>
              <w:jc w:val="center"/>
              <w:rPr>
                <w:rFonts w:asciiTheme="minorHAnsi" w:hAnsiTheme="minorHAnsi" w:cstheme="minorHAnsi"/>
              </w:rPr>
            </w:pPr>
            <w:r>
              <w:rPr>
                <w:rFonts w:asciiTheme="minorHAnsi" w:hAnsiTheme="minorHAnsi" w:cstheme="minorHAnsi"/>
              </w:rPr>
              <w:t>6 de octubre al 7 de noviembre</w:t>
            </w:r>
          </w:p>
        </w:tc>
        <w:tc>
          <w:tcPr>
            <w:tcW w:w="1449" w:type="dxa"/>
            <w:vMerge w:val="restart"/>
            <w:tcBorders>
              <w:top w:val="single" w:sz="4" w:space="0" w:color="auto"/>
              <w:left w:val="single" w:sz="4" w:space="0" w:color="auto"/>
              <w:bottom w:val="single" w:sz="4" w:space="0" w:color="auto"/>
              <w:right w:val="single" w:sz="4" w:space="0" w:color="auto"/>
            </w:tcBorders>
            <w:vAlign w:val="center"/>
          </w:tcPr>
          <w:p w14:paraId="3051942D" w14:textId="41A4E78A" w:rsidR="0096772B" w:rsidRDefault="00A126EC">
            <w:pPr>
              <w:jc w:val="center"/>
              <w:rPr>
                <w:rFonts w:asciiTheme="minorHAnsi" w:hAnsiTheme="minorHAnsi" w:cstheme="minorHAnsi"/>
              </w:rPr>
            </w:pPr>
            <w:r>
              <w:rPr>
                <w:rFonts w:asciiTheme="minorHAnsi" w:hAnsiTheme="minorHAnsi" w:cstheme="minorHAnsi"/>
              </w:rPr>
              <w:t>x</w:t>
            </w:r>
          </w:p>
        </w:tc>
        <w:tc>
          <w:tcPr>
            <w:tcW w:w="1600" w:type="dxa"/>
            <w:vMerge w:val="restart"/>
            <w:tcBorders>
              <w:top w:val="single" w:sz="4" w:space="0" w:color="auto"/>
              <w:left w:val="single" w:sz="4" w:space="0" w:color="auto"/>
              <w:bottom w:val="single" w:sz="4" w:space="0" w:color="auto"/>
              <w:right w:val="single" w:sz="4" w:space="0" w:color="auto"/>
            </w:tcBorders>
            <w:vAlign w:val="center"/>
            <w:hideMark/>
          </w:tcPr>
          <w:p w14:paraId="44AE5A04" w14:textId="77777777" w:rsidR="0096772B" w:rsidRDefault="0096772B">
            <w:pPr>
              <w:jc w:val="center"/>
              <w:rPr>
                <w:rFonts w:asciiTheme="minorHAnsi" w:hAnsiTheme="minorHAnsi" w:cstheme="minorHAnsi"/>
              </w:rPr>
            </w:pPr>
            <w:r>
              <w:rPr>
                <w:rFonts w:asciiTheme="minorHAnsi" w:hAnsiTheme="minorHAnsi" w:cstheme="minorHAnsi"/>
              </w:rPr>
              <w:t>x</w:t>
            </w:r>
          </w:p>
        </w:tc>
        <w:tc>
          <w:tcPr>
            <w:tcW w:w="1729" w:type="dxa"/>
            <w:vMerge w:val="restart"/>
            <w:tcBorders>
              <w:top w:val="single" w:sz="4" w:space="0" w:color="auto"/>
              <w:left w:val="single" w:sz="4" w:space="0" w:color="auto"/>
              <w:bottom w:val="single" w:sz="4" w:space="0" w:color="auto"/>
              <w:right w:val="single" w:sz="4" w:space="0" w:color="auto"/>
            </w:tcBorders>
            <w:vAlign w:val="center"/>
          </w:tcPr>
          <w:p w14:paraId="6FC012DB" w14:textId="77777777" w:rsidR="0096772B" w:rsidRDefault="0096772B">
            <w:pPr>
              <w:jc w:val="center"/>
              <w:rPr>
                <w:rFonts w:asciiTheme="minorHAnsi" w:hAnsiTheme="minorHAnsi" w:cstheme="minorHAnsi"/>
              </w:rPr>
            </w:pPr>
          </w:p>
        </w:tc>
      </w:tr>
      <w:tr w:rsidR="0096772B" w14:paraId="7827AE53" w14:textId="77777777" w:rsidTr="00C06069">
        <w:trPr>
          <w:trHeight w:val="519"/>
        </w:trPr>
        <w:tc>
          <w:tcPr>
            <w:tcW w:w="8080" w:type="dxa"/>
            <w:tcBorders>
              <w:top w:val="single" w:sz="4" w:space="0" w:color="auto"/>
              <w:left w:val="single" w:sz="4" w:space="0" w:color="auto"/>
              <w:bottom w:val="single" w:sz="4" w:space="0" w:color="auto"/>
              <w:right w:val="single" w:sz="4" w:space="0" w:color="auto"/>
            </w:tcBorders>
            <w:hideMark/>
          </w:tcPr>
          <w:p w14:paraId="441592C0" w14:textId="77EBE822" w:rsidR="00D63D3F" w:rsidRPr="00D63D3F" w:rsidRDefault="00D63D3F" w:rsidP="00D63D3F">
            <w:pPr>
              <w:spacing w:line="256" w:lineRule="auto"/>
              <w:rPr>
                <w:rFonts w:asciiTheme="minorHAnsi" w:eastAsiaTheme="minorHAnsi" w:hAnsiTheme="minorHAnsi" w:cstheme="minorHAnsi"/>
                <w:lang w:val="es-CL" w:eastAsia="en-US"/>
              </w:rPr>
            </w:pPr>
            <w:r w:rsidRPr="00D63D3F">
              <w:rPr>
                <w:rFonts w:asciiTheme="minorHAnsi" w:eastAsiaTheme="minorHAnsi" w:hAnsiTheme="minorHAnsi" w:cstheme="minorHAnsi"/>
                <w:lang w:val="es-CL" w:eastAsia="en-US"/>
              </w:rPr>
              <w:t>OA 16</w:t>
            </w:r>
          </w:p>
          <w:p w14:paraId="418572A8" w14:textId="0AABB282" w:rsidR="00D63D3F" w:rsidRDefault="00D63D3F" w:rsidP="00D63D3F">
            <w:pPr>
              <w:spacing w:line="256" w:lineRule="auto"/>
              <w:rPr>
                <w:rFonts w:asciiTheme="minorHAnsi" w:eastAsiaTheme="minorHAnsi" w:hAnsiTheme="minorHAnsi" w:cstheme="minorHAnsi"/>
                <w:lang w:val="es-CL" w:eastAsia="en-US"/>
              </w:rPr>
            </w:pPr>
            <w:r w:rsidRPr="00D63D3F">
              <w:rPr>
                <w:rFonts w:asciiTheme="minorHAnsi" w:eastAsiaTheme="minorHAnsi" w:hAnsiTheme="minorHAnsi" w:cstheme="minorHAnsi"/>
                <w:lang w:val="es-CL" w:eastAsia="en-US"/>
              </w:rPr>
              <w:t>Explicar que durante la dictadura militar se suprimió el Estado de derecho y se violaron sistemáticamente los derechos humanos, reconociendo que hubo instituciones civiles y religiosas que procuraron la defensa de las víctimas.</w:t>
            </w:r>
          </w:p>
          <w:p w14:paraId="378C7C2F" w14:textId="70952EDC" w:rsidR="0096772B" w:rsidRDefault="0096772B">
            <w:pPr>
              <w:spacing w:line="256" w:lineRule="auto"/>
              <w:rPr>
                <w:rFonts w:asciiTheme="minorHAnsi" w:eastAsiaTheme="minorHAnsi" w:hAnsiTheme="minorHAnsi" w:cstheme="minorHAnsi"/>
                <w:lang w:val="es-CL" w:eastAsia="en-US"/>
              </w:rPr>
            </w:pPr>
          </w:p>
        </w:tc>
        <w:tc>
          <w:tcPr>
            <w:tcW w:w="2026" w:type="dxa"/>
            <w:vMerge/>
            <w:tcBorders>
              <w:top w:val="single" w:sz="4" w:space="0" w:color="auto"/>
              <w:left w:val="single" w:sz="4" w:space="0" w:color="auto"/>
              <w:bottom w:val="single" w:sz="4" w:space="0" w:color="auto"/>
              <w:right w:val="single" w:sz="4" w:space="0" w:color="auto"/>
            </w:tcBorders>
            <w:vAlign w:val="center"/>
            <w:hideMark/>
          </w:tcPr>
          <w:p w14:paraId="2384F928" w14:textId="77777777" w:rsidR="0096772B" w:rsidRDefault="0096772B">
            <w:pPr>
              <w:rPr>
                <w:rFonts w:asciiTheme="minorHAnsi" w:hAnsiTheme="minorHAnsi" w:cstheme="minorHAnsi"/>
                <w:kern w:val="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574474" w14:textId="77777777" w:rsidR="0096772B" w:rsidRDefault="0096772B">
            <w:pPr>
              <w:rPr>
                <w:rFonts w:asciiTheme="minorHAnsi" w:hAnsiTheme="minorHAnsi" w:cstheme="minorHAnsi"/>
                <w:kern w:val="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1E9F694" w14:textId="77777777" w:rsidR="0096772B" w:rsidRDefault="0096772B">
            <w:pPr>
              <w:rPr>
                <w:rFonts w:asciiTheme="minorHAnsi" w:hAnsiTheme="minorHAnsi" w:cstheme="minorHAnsi"/>
                <w:kern w:val="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A53679" w14:textId="77777777" w:rsidR="0096772B" w:rsidRDefault="0096772B">
            <w:pPr>
              <w:rPr>
                <w:rFonts w:asciiTheme="minorHAnsi" w:hAnsiTheme="minorHAnsi" w:cstheme="minorHAnsi"/>
                <w:kern w:val="2"/>
                <w14:ligatures w14:val="standardContextual"/>
              </w:rPr>
            </w:pPr>
          </w:p>
        </w:tc>
      </w:tr>
      <w:tr w:rsidR="0096772B" w14:paraId="44B61DD5" w14:textId="77777777" w:rsidTr="00C06069">
        <w:trPr>
          <w:trHeight w:val="699"/>
        </w:trPr>
        <w:tc>
          <w:tcPr>
            <w:tcW w:w="8080" w:type="dxa"/>
            <w:tcBorders>
              <w:top w:val="single" w:sz="4" w:space="0" w:color="auto"/>
              <w:left w:val="single" w:sz="4" w:space="0" w:color="auto"/>
              <w:bottom w:val="single" w:sz="4" w:space="0" w:color="auto"/>
              <w:right w:val="single" w:sz="4" w:space="0" w:color="auto"/>
            </w:tcBorders>
            <w:hideMark/>
          </w:tcPr>
          <w:p w14:paraId="7D2C9F4B" w14:textId="77777777" w:rsidR="00D63D3F" w:rsidRPr="00D63D3F" w:rsidRDefault="00D63D3F" w:rsidP="00D63D3F">
            <w:pPr>
              <w:spacing w:line="256" w:lineRule="auto"/>
              <w:rPr>
                <w:rFonts w:asciiTheme="minorHAnsi" w:eastAsiaTheme="minorHAnsi" w:hAnsiTheme="minorHAnsi" w:cstheme="minorHAnsi"/>
                <w:lang w:val="es-CL" w:eastAsia="en-US"/>
              </w:rPr>
            </w:pPr>
            <w:r w:rsidRPr="00D63D3F">
              <w:rPr>
                <w:rFonts w:asciiTheme="minorHAnsi" w:eastAsiaTheme="minorHAnsi" w:hAnsiTheme="minorHAnsi" w:cstheme="minorHAnsi"/>
                <w:lang w:val="es-CL" w:eastAsia="en-US"/>
              </w:rPr>
              <w:lastRenderedPageBreak/>
              <w:t>OA 17</w:t>
            </w:r>
          </w:p>
          <w:p w14:paraId="2C094017" w14:textId="33E7F9EE" w:rsidR="0096772B" w:rsidRDefault="00D63D3F" w:rsidP="00D63D3F">
            <w:pPr>
              <w:spacing w:line="256" w:lineRule="auto"/>
              <w:rPr>
                <w:rFonts w:asciiTheme="minorHAnsi" w:eastAsiaTheme="minorHAnsi" w:hAnsiTheme="minorHAnsi" w:cstheme="minorHAnsi"/>
                <w:lang w:val="es-CL" w:eastAsia="en-US"/>
              </w:rPr>
            </w:pPr>
            <w:r w:rsidRPr="00D63D3F">
              <w:rPr>
                <w:rFonts w:asciiTheme="minorHAnsi" w:eastAsiaTheme="minorHAnsi" w:hAnsiTheme="minorHAnsi" w:cstheme="minorHAnsi"/>
                <w:lang w:val="es-CL" w:eastAsia="en-US"/>
              </w:rPr>
              <w:t>Caracterizar el modelo económico neoliberal implementado en Chile durante el régimen o dictadura militar, considerando aspectos como la transformación del rol del Estado y la disminución del gasto social, la supremacía del libre mercado como asignador de recursos, la apertura comercial y la disponibilidad de bienes, la política de privatizaciones e incentivo a la empresa privada y el cambio en las relaciones y derechos laborales, y evaluar sus consecuencias sociales en el corto y largo plazo.</w:t>
            </w:r>
          </w:p>
        </w:tc>
        <w:tc>
          <w:tcPr>
            <w:tcW w:w="2026" w:type="dxa"/>
            <w:tcBorders>
              <w:top w:val="single" w:sz="4" w:space="0" w:color="auto"/>
              <w:left w:val="single" w:sz="4" w:space="0" w:color="auto"/>
              <w:bottom w:val="single" w:sz="4" w:space="0" w:color="auto"/>
              <w:right w:val="single" w:sz="4" w:space="0" w:color="auto"/>
            </w:tcBorders>
            <w:vAlign w:val="center"/>
          </w:tcPr>
          <w:p w14:paraId="79EC7424" w14:textId="4B261DF7" w:rsidR="0096772B" w:rsidRDefault="00A126EC">
            <w:pPr>
              <w:jc w:val="center"/>
              <w:rPr>
                <w:rFonts w:asciiTheme="minorHAnsi" w:hAnsiTheme="minorHAnsi" w:cstheme="minorHAnsi"/>
              </w:rPr>
            </w:pPr>
            <w:r>
              <w:rPr>
                <w:rFonts w:asciiTheme="minorHAnsi" w:hAnsiTheme="minorHAnsi" w:cstheme="minorHAnsi"/>
              </w:rPr>
              <w:t>6 de octubre al 7 de noviembre</w:t>
            </w:r>
          </w:p>
        </w:tc>
        <w:tc>
          <w:tcPr>
            <w:tcW w:w="1449" w:type="dxa"/>
            <w:tcBorders>
              <w:top w:val="single" w:sz="4" w:space="0" w:color="auto"/>
              <w:left w:val="single" w:sz="4" w:space="0" w:color="auto"/>
              <w:bottom w:val="single" w:sz="4" w:space="0" w:color="auto"/>
              <w:right w:val="single" w:sz="4" w:space="0" w:color="auto"/>
            </w:tcBorders>
            <w:vAlign w:val="center"/>
          </w:tcPr>
          <w:p w14:paraId="7F307559" w14:textId="5F87D72F" w:rsidR="0096772B" w:rsidRDefault="00A126EC">
            <w:pPr>
              <w:jc w:val="center"/>
              <w:rPr>
                <w:rFonts w:asciiTheme="minorHAnsi" w:hAnsiTheme="minorHAnsi" w:cstheme="minorHAnsi"/>
              </w:rPr>
            </w:pPr>
            <w:r>
              <w:rPr>
                <w:rFonts w:asciiTheme="minorHAnsi" w:hAnsiTheme="minorHAnsi" w:cstheme="minorHAnsi"/>
              </w:rPr>
              <w:t>x</w:t>
            </w:r>
          </w:p>
        </w:tc>
        <w:tc>
          <w:tcPr>
            <w:tcW w:w="1600" w:type="dxa"/>
            <w:tcBorders>
              <w:top w:val="single" w:sz="4" w:space="0" w:color="auto"/>
              <w:left w:val="single" w:sz="4" w:space="0" w:color="auto"/>
              <w:bottom w:val="single" w:sz="4" w:space="0" w:color="auto"/>
              <w:right w:val="single" w:sz="4" w:space="0" w:color="auto"/>
            </w:tcBorders>
            <w:vAlign w:val="center"/>
          </w:tcPr>
          <w:p w14:paraId="0112C34F" w14:textId="22FD01A0" w:rsidR="0096772B" w:rsidRDefault="00A126EC">
            <w:pPr>
              <w:jc w:val="center"/>
              <w:rPr>
                <w:rFonts w:asciiTheme="minorHAnsi" w:hAnsiTheme="minorHAnsi" w:cstheme="minorHAnsi"/>
              </w:rPr>
            </w:pPr>
            <w:r>
              <w:rPr>
                <w:rFonts w:asciiTheme="minorHAnsi" w:hAnsiTheme="minorHAnsi" w:cstheme="minorHAnsi"/>
              </w:rPr>
              <w:t>x</w:t>
            </w:r>
          </w:p>
        </w:tc>
        <w:tc>
          <w:tcPr>
            <w:tcW w:w="1729" w:type="dxa"/>
            <w:tcBorders>
              <w:top w:val="single" w:sz="4" w:space="0" w:color="auto"/>
              <w:left w:val="single" w:sz="4" w:space="0" w:color="auto"/>
              <w:bottom w:val="single" w:sz="4" w:space="0" w:color="auto"/>
              <w:right w:val="single" w:sz="4" w:space="0" w:color="auto"/>
            </w:tcBorders>
            <w:vAlign w:val="center"/>
          </w:tcPr>
          <w:p w14:paraId="47DB576F" w14:textId="77777777" w:rsidR="0096772B" w:rsidRDefault="0096772B">
            <w:pPr>
              <w:jc w:val="center"/>
              <w:rPr>
                <w:rFonts w:asciiTheme="minorHAnsi" w:hAnsiTheme="minorHAnsi" w:cstheme="minorHAnsi"/>
              </w:rPr>
            </w:pPr>
          </w:p>
        </w:tc>
      </w:tr>
      <w:tr w:rsidR="0096772B" w14:paraId="24DFFFA4" w14:textId="77777777" w:rsidTr="00C06069">
        <w:trPr>
          <w:trHeight w:val="1044"/>
        </w:trPr>
        <w:tc>
          <w:tcPr>
            <w:tcW w:w="8080" w:type="dxa"/>
            <w:tcBorders>
              <w:top w:val="single" w:sz="4" w:space="0" w:color="auto"/>
              <w:left w:val="single" w:sz="4" w:space="0" w:color="auto"/>
              <w:bottom w:val="single" w:sz="4" w:space="0" w:color="auto"/>
              <w:right w:val="single" w:sz="4" w:space="0" w:color="auto"/>
            </w:tcBorders>
            <w:hideMark/>
          </w:tcPr>
          <w:p w14:paraId="76F06120" w14:textId="77777777" w:rsidR="00D63D3F" w:rsidRPr="00D63D3F" w:rsidRDefault="00D63D3F" w:rsidP="00D63D3F">
            <w:pPr>
              <w:spacing w:line="256" w:lineRule="auto"/>
              <w:rPr>
                <w:rFonts w:asciiTheme="minorHAnsi" w:eastAsiaTheme="minorHAnsi" w:hAnsiTheme="minorHAnsi" w:cstheme="minorHAnsi"/>
                <w:lang w:val="es-CL" w:eastAsia="en-US"/>
              </w:rPr>
            </w:pPr>
            <w:r w:rsidRPr="00D63D3F">
              <w:rPr>
                <w:rFonts w:asciiTheme="minorHAnsi" w:eastAsiaTheme="minorHAnsi" w:hAnsiTheme="minorHAnsi" w:cstheme="minorHAnsi"/>
                <w:lang w:val="es-CL" w:eastAsia="en-US"/>
              </w:rPr>
              <w:t>OA 19</w:t>
            </w:r>
          </w:p>
          <w:p w14:paraId="2A6F5B56" w14:textId="7ECAFF4F" w:rsidR="0096772B" w:rsidRDefault="00D63D3F" w:rsidP="00D63D3F">
            <w:pPr>
              <w:spacing w:line="256" w:lineRule="auto"/>
              <w:rPr>
                <w:rFonts w:asciiTheme="minorHAnsi" w:eastAsiaTheme="minorHAnsi" w:hAnsiTheme="minorHAnsi" w:cstheme="minorHAnsi"/>
                <w:lang w:val="es-CL" w:eastAsia="en-US"/>
              </w:rPr>
            </w:pPr>
            <w:r w:rsidRPr="00D63D3F">
              <w:rPr>
                <w:rFonts w:asciiTheme="minorHAnsi" w:eastAsiaTheme="minorHAnsi" w:hAnsiTheme="minorHAnsi" w:cstheme="minorHAnsi"/>
                <w:lang w:val="es-CL" w:eastAsia="en-US"/>
              </w:rPr>
              <w:t>Explicar los factores que incidieron en el proceso de recuperación de la democracia durante la década de 1980, considerando la crisis económica, el surgimiento de protestas, la rearticulación del mundo político y el rol mediador de la Iglesia Católica, de organismos de defensa de derechos humanos y de la comunidad internacional.</w:t>
            </w:r>
          </w:p>
        </w:tc>
        <w:tc>
          <w:tcPr>
            <w:tcW w:w="2026" w:type="dxa"/>
            <w:tcBorders>
              <w:top w:val="single" w:sz="4" w:space="0" w:color="auto"/>
              <w:left w:val="single" w:sz="4" w:space="0" w:color="auto"/>
              <w:bottom w:val="single" w:sz="4" w:space="0" w:color="auto"/>
              <w:right w:val="single" w:sz="4" w:space="0" w:color="auto"/>
            </w:tcBorders>
            <w:vAlign w:val="center"/>
          </w:tcPr>
          <w:p w14:paraId="0D0FAABE" w14:textId="3CD96D46" w:rsidR="0096772B" w:rsidRDefault="00A126EC">
            <w:pPr>
              <w:jc w:val="center"/>
              <w:rPr>
                <w:rFonts w:asciiTheme="minorHAnsi" w:hAnsiTheme="minorHAnsi" w:cstheme="minorHAnsi"/>
              </w:rPr>
            </w:pPr>
            <w:r>
              <w:rPr>
                <w:rFonts w:asciiTheme="minorHAnsi" w:hAnsiTheme="minorHAnsi" w:cstheme="minorHAnsi"/>
              </w:rPr>
              <w:t>6 de octubre al 7 de noviembre</w:t>
            </w:r>
          </w:p>
        </w:tc>
        <w:tc>
          <w:tcPr>
            <w:tcW w:w="1449" w:type="dxa"/>
            <w:tcBorders>
              <w:top w:val="single" w:sz="4" w:space="0" w:color="auto"/>
              <w:left w:val="single" w:sz="4" w:space="0" w:color="auto"/>
              <w:bottom w:val="single" w:sz="4" w:space="0" w:color="auto"/>
              <w:right w:val="single" w:sz="4" w:space="0" w:color="auto"/>
            </w:tcBorders>
            <w:vAlign w:val="center"/>
          </w:tcPr>
          <w:p w14:paraId="232D7C0F" w14:textId="5F34171D" w:rsidR="0096772B" w:rsidRDefault="00A126EC">
            <w:pPr>
              <w:jc w:val="center"/>
              <w:rPr>
                <w:rFonts w:asciiTheme="minorHAnsi" w:hAnsiTheme="minorHAnsi" w:cstheme="minorHAnsi"/>
              </w:rPr>
            </w:pPr>
            <w:r>
              <w:rPr>
                <w:rFonts w:asciiTheme="minorHAnsi" w:hAnsiTheme="minorHAnsi" w:cstheme="minorHAnsi"/>
              </w:rPr>
              <w:t>x</w:t>
            </w:r>
          </w:p>
          <w:p w14:paraId="2D15ECDA" w14:textId="77777777" w:rsidR="00A126EC" w:rsidRDefault="00A126EC">
            <w:pPr>
              <w:jc w:val="center"/>
              <w:rPr>
                <w:rFonts w:asciiTheme="minorHAnsi" w:hAnsiTheme="minorHAnsi" w:cstheme="minorHAnsi"/>
              </w:rPr>
            </w:pPr>
          </w:p>
        </w:tc>
        <w:tc>
          <w:tcPr>
            <w:tcW w:w="1600" w:type="dxa"/>
            <w:tcBorders>
              <w:top w:val="single" w:sz="4" w:space="0" w:color="auto"/>
              <w:left w:val="single" w:sz="4" w:space="0" w:color="auto"/>
              <w:bottom w:val="single" w:sz="4" w:space="0" w:color="auto"/>
              <w:right w:val="single" w:sz="4" w:space="0" w:color="auto"/>
            </w:tcBorders>
            <w:vAlign w:val="center"/>
            <w:hideMark/>
          </w:tcPr>
          <w:p w14:paraId="3D2C3904" w14:textId="77777777" w:rsidR="0096772B" w:rsidRDefault="0096772B">
            <w:pPr>
              <w:jc w:val="center"/>
              <w:rPr>
                <w:rFonts w:asciiTheme="minorHAnsi" w:hAnsiTheme="minorHAnsi" w:cstheme="minorHAnsi"/>
              </w:rPr>
            </w:pPr>
            <w:r>
              <w:rPr>
                <w:rFonts w:asciiTheme="minorHAnsi" w:hAnsiTheme="minorHAnsi" w:cstheme="minorHAnsi"/>
              </w:rPr>
              <w:t>x</w:t>
            </w:r>
          </w:p>
        </w:tc>
        <w:tc>
          <w:tcPr>
            <w:tcW w:w="1729" w:type="dxa"/>
            <w:tcBorders>
              <w:top w:val="single" w:sz="4" w:space="0" w:color="auto"/>
              <w:left w:val="single" w:sz="4" w:space="0" w:color="auto"/>
              <w:bottom w:val="single" w:sz="4" w:space="0" w:color="auto"/>
              <w:right w:val="single" w:sz="4" w:space="0" w:color="auto"/>
            </w:tcBorders>
            <w:vAlign w:val="center"/>
          </w:tcPr>
          <w:p w14:paraId="649435C7" w14:textId="6C679204" w:rsidR="0096772B" w:rsidRDefault="00A126EC">
            <w:pPr>
              <w:jc w:val="center"/>
              <w:rPr>
                <w:rFonts w:asciiTheme="minorHAnsi" w:hAnsiTheme="minorHAnsi" w:cstheme="minorHAnsi"/>
              </w:rPr>
            </w:pPr>
            <w:r>
              <w:rPr>
                <w:rFonts w:asciiTheme="minorHAnsi" w:hAnsiTheme="minorHAnsi" w:cstheme="minorHAnsi"/>
              </w:rPr>
              <w:t>x</w:t>
            </w:r>
          </w:p>
        </w:tc>
      </w:tr>
      <w:tr w:rsidR="0096772B" w14:paraId="699BF733" w14:textId="77777777" w:rsidTr="00C06069">
        <w:trPr>
          <w:trHeight w:val="1044"/>
        </w:trPr>
        <w:tc>
          <w:tcPr>
            <w:tcW w:w="8080" w:type="dxa"/>
            <w:tcBorders>
              <w:top w:val="single" w:sz="4" w:space="0" w:color="auto"/>
              <w:left w:val="single" w:sz="4" w:space="0" w:color="auto"/>
              <w:bottom w:val="single" w:sz="4" w:space="0" w:color="auto"/>
              <w:right w:val="single" w:sz="4" w:space="0" w:color="auto"/>
            </w:tcBorders>
            <w:hideMark/>
          </w:tcPr>
          <w:p w14:paraId="2D3A2471" w14:textId="77777777" w:rsidR="00D63D3F" w:rsidRPr="00D63D3F" w:rsidRDefault="00D63D3F" w:rsidP="00D63D3F">
            <w:pPr>
              <w:spacing w:line="256" w:lineRule="auto"/>
              <w:rPr>
                <w:rFonts w:asciiTheme="minorHAnsi" w:eastAsiaTheme="minorHAnsi" w:hAnsiTheme="minorHAnsi" w:cstheme="minorHAnsi"/>
                <w:lang w:val="es-CL" w:eastAsia="en-US"/>
              </w:rPr>
            </w:pPr>
            <w:r w:rsidRPr="00D63D3F">
              <w:rPr>
                <w:rFonts w:asciiTheme="minorHAnsi" w:eastAsiaTheme="minorHAnsi" w:hAnsiTheme="minorHAnsi" w:cstheme="minorHAnsi"/>
                <w:lang w:val="es-CL" w:eastAsia="en-US"/>
              </w:rPr>
              <w:t>OA 20</w:t>
            </w:r>
          </w:p>
          <w:p w14:paraId="18060191" w14:textId="2A94C5E3" w:rsidR="0096772B" w:rsidRDefault="00D63D3F" w:rsidP="00D63D3F">
            <w:pPr>
              <w:spacing w:line="256" w:lineRule="auto"/>
              <w:rPr>
                <w:rFonts w:asciiTheme="minorHAnsi" w:eastAsiaTheme="minorHAnsi" w:hAnsiTheme="minorHAnsi" w:cstheme="minorHAnsi"/>
                <w:lang w:val="es-CL" w:eastAsia="en-US"/>
              </w:rPr>
            </w:pPr>
            <w:r w:rsidRPr="00D63D3F">
              <w:rPr>
                <w:rFonts w:asciiTheme="minorHAnsi" w:eastAsiaTheme="minorHAnsi" w:hAnsiTheme="minorHAnsi" w:cstheme="minorHAnsi"/>
                <w:lang w:val="es-CL" w:eastAsia="en-US"/>
              </w:rPr>
              <w:t>Analizar la transición a la democracia como un proceso marcado por el plebiscito de 1988, la búsqueda de acuerdos entre el gobierno y la oposición, las reformas constitucionales, las tensiones cívico militares, el consenso generado en torno a la democracia representativa como sistema político y la reivindicación de los derechos humanos mediante diversas políticas de reparación.</w:t>
            </w:r>
          </w:p>
        </w:tc>
        <w:tc>
          <w:tcPr>
            <w:tcW w:w="2026" w:type="dxa"/>
            <w:tcBorders>
              <w:top w:val="single" w:sz="4" w:space="0" w:color="auto"/>
              <w:left w:val="single" w:sz="4" w:space="0" w:color="auto"/>
              <w:bottom w:val="single" w:sz="4" w:space="0" w:color="auto"/>
              <w:right w:val="single" w:sz="4" w:space="0" w:color="auto"/>
            </w:tcBorders>
            <w:vAlign w:val="center"/>
          </w:tcPr>
          <w:p w14:paraId="3976CF59" w14:textId="3BA0F4E0" w:rsidR="0096772B" w:rsidRDefault="00A126EC">
            <w:pPr>
              <w:jc w:val="center"/>
              <w:rPr>
                <w:rFonts w:asciiTheme="minorHAnsi" w:hAnsiTheme="minorHAnsi" w:cstheme="minorHAnsi"/>
              </w:rPr>
            </w:pPr>
            <w:r>
              <w:rPr>
                <w:rFonts w:asciiTheme="minorHAnsi" w:hAnsiTheme="minorHAnsi" w:cstheme="minorHAnsi"/>
              </w:rPr>
              <w:t>6 de octubre al 7 de noviembre</w:t>
            </w:r>
          </w:p>
        </w:tc>
        <w:tc>
          <w:tcPr>
            <w:tcW w:w="1449" w:type="dxa"/>
            <w:tcBorders>
              <w:top w:val="single" w:sz="4" w:space="0" w:color="auto"/>
              <w:left w:val="single" w:sz="4" w:space="0" w:color="auto"/>
              <w:bottom w:val="single" w:sz="4" w:space="0" w:color="auto"/>
              <w:right w:val="single" w:sz="4" w:space="0" w:color="auto"/>
            </w:tcBorders>
            <w:vAlign w:val="center"/>
          </w:tcPr>
          <w:p w14:paraId="1DFD619A" w14:textId="3E69D5DC" w:rsidR="00A126EC" w:rsidRDefault="00A126EC" w:rsidP="00A126EC">
            <w:pPr>
              <w:jc w:val="center"/>
              <w:rPr>
                <w:rFonts w:asciiTheme="minorHAnsi" w:hAnsiTheme="minorHAnsi" w:cstheme="minorHAnsi"/>
              </w:rPr>
            </w:pPr>
            <w:r>
              <w:rPr>
                <w:rFonts w:asciiTheme="minorHAnsi" w:hAnsiTheme="minorHAnsi" w:cstheme="minorHAnsi"/>
              </w:rPr>
              <w:t>x</w:t>
            </w:r>
          </w:p>
        </w:tc>
        <w:tc>
          <w:tcPr>
            <w:tcW w:w="1600" w:type="dxa"/>
            <w:tcBorders>
              <w:top w:val="single" w:sz="4" w:space="0" w:color="auto"/>
              <w:left w:val="single" w:sz="4" w:space="0" w:color="auto"/>
              <w:bottom w:val="single" w:sz="4" w:space="0" w:color="auto"/>
              <w:right w:val="single" w:sz="4" w:space="0" w:color="auto"/>
            </w:tcBorders>
            <w:vAlign w:val="center"/>
          </w:tcPr>
          <w:p w14:paraId="1C960360" w14:textId="7D3E3741" w:rsidR="0096772B" w:rsidRDefault="00A126EC">
            <w:pPr>
              <w:jc w:val="center"/>
              <w:rPr>
                <w:rFonts w:asciiTheme="minorHAnsi" w:hAnsiTheme="minorHAnsi" w:cstheme="minorHAnsi"/>
              </w:rPr>
            </w:pPr>
            <w:r>
              <w:rPr>
                <w:rFonts w:asciiTheme="minorHAnsi" w:hAnsiTheme="minorHAnsi" w:cstheme="minorHAnsi"/>
              </w:rPr>
              <w:t>x</w:t>
            </w:r>
          </w:p>
        </w:tc>
        <w:tc>
          <w:tcPr>
            <w:tcW w:w="1729" w:type="dxa"/>
            <w:tcBorders>
              <w:top w:val="single" w:sz="4" w:space="0" w:color="auto"/>
              <w:left w:val="single" w:sz="4" w:space="0" w:color="auto"/>
              <w:bottom w:val="single" w:sz="4" w:space="0" w:color="auto"/>
              <w:right w:val="single" w:sz="4" w:space="0" w:color="auto"/>
            </w:tcBorders>
            <w:vAlign w:val="center"/>
          </w:tcPr>
          <w:p w14:paraId="420C36B8" w14:textId="77777777" w:rsidR="0096772B" w:rsidRDefault="0096772B">
            <w:pPr>
              <w:jc w:val="center"/>
              <w:rPr>
                <w:rFonts w:asciiTheme="minorHAnsi" w:hAnsiTheme="minorHAnsi" w:cstheme="minorHAnsi"/>
              </w:rPr>
            </w:pPr>
          </w:p>
        </w:tc>
      </w:tr>
      <w:tr w:rsidR="0096772B" w14:paraId="4498FB1F" w14:textId="77777777" w:rsidTr="00C06069">
        <w:trPr>
          <w:trHeight w:val="266"/>
        </w:trPr>
        <w:tc>
          <w:tcPr>
            <w:tcW w:w="8080" w:type="dxa"/>
            <w:tcBorders>
              <w:top w:val="single" w:sz="4" w:space="0" w:color="auto"/>
              <w:left w:val="single" w:sz="4" w:space="0" w:color="auto"/>
              <w:bottom w:val="single" w:sz="4" w:space="0" w:color="auto"/>
              <w:right w:val="single" w:sz="4" w:space="0" w:color="auto"/>
            </w:tcBorders>
            <w:hideMark/>
          </w:tcPr>
          <w:p w14:paraId="1F674EE0" w14:textId="11A406FA" w:rsidR="0096772B" w:rsidRDefault="0096772B">
            <w:pPr>
              <w:spacing w:before="100" w:beforeAutospacing="1"/>
              <w:outlineLvl w:val="1"/>
              <w:rPr>
                <w:rFonts w:asciiTheme="minorHAnsi" w:hAnsiTheme="minorHAnsi" w:cstheme="minorHAnsi"/>
                <w:b/>
                <w:i/>
                <w:iCs/>
              </w:rPr>
            </w:pPr>
            <w:r>
              <w:rPr>
                <w:rFonts w:asciiTheme="minorHAnsi" w:hAnsiTheme="minorHAnsi" w:cstheme="minorHAnsi"/>
                <w:b/>
                <w:i/>
                <w:iCs/>
              </w:rPr>
              <w:t xml:space="preserve">Unidad 4: </w:t>
            </w:r>
            <w:r w:rsidR="00D63D3F" w:rsidRPr="00D63D3F">
              <w:rPr>
                <w:rFonts w:asciiTheme="minorHAnsi" w:hAnsiTheme="minorHAnsi" w:cstheme="minorHAnsi"/>
                <w:b/>
                <w:i/>
                <w:iCs/>
              </w:rPr>
              <w:t>Formación ciudadana: Estado de derecho, sociedad y diversidad</w:t>
            </w:r>
          </w:p>
        </w:tc>
        <w:tc>
          <w:tcPr>
            <w:tcW w:w="2026" w:type="dxa"/>
            <w:vMerge w:val="restart"/>
            <w:tcBorders>
              <w:top w:val="single" w:sz="4" w:space="0" w:color="auto"/>
              <w:left w:val="single" w:sz="4" w:space="0" w:color="auto"/>
              <w:bottom w:val="single" w:sz="4" w:space="0" w:color="auto"/>
              <w:right w:val="single" w:sz="4" w:space="0" w:color="auto"/>
            </w:tcBorders>
            <w:vAlign w:val="center"/>
          </w:tcPr>
          <w:p w14:paraId="594997B4" w14:textId="2DFE0AD6" w:rsidR="0096772B" w:rsidRDefault="00A126EC">
            <w:pPr>
              <w:jc w:val="center"/>
              <w:rPr>
                <w:rFonts w:asciiTheme="minorHAnsi" w:hAnsiTheme="minorHAnsi" w:cstheme="minorHAnsi"/>
              </w:rPr>
            </w:pPr>
            <w:r>
              <w:rPr>
                <w:rFonts w:asciiTheme="minorHAnsi" w:hAnsiTheme="minorHAnsi" w:cstheme="minorHAnsi"/>
              </w:rPr>
              <w:t>10 de noviembre al 12 de diciembre</w:t>
            </w:r>
          </w:p>
        </w:tc>
        <w:tc>
          <w:tcPr>
            <w:tcW w:w="1449" w:type="dxa"/>
            <w:vMerge w:val="restart"/>
            <w:tcBorders>
              <w:top w:val="single" w:sz="4" w:space="0" w:color="auto"/>
              <w:left w:val="single" w:sz="4" w:space="0" w:color="auto"/>
              <w:bottom w:val="single" w:sz="4" w:space="0" w:color="auto"/>
              <w:right w:val="single" w:sz="4" w:space="0" w:color="auto"/>
            </w:tcBorders>
            <w:vAlign w:val="center"/>
          </w:tcPr>
          <w:p w14:paraId="20AE1D51" w14:textId="77777777" w:rsidR="00A126EC" w:rsidRDefault="00A126EC">
            <w:pPr>
              <w:jc w:val="center"/>
              <w:rPr>
                <w:rFonts w:asciiTheme="minorHAnsi" w:hAnsiTheme="minorHAnsi" w:cstheme="minorHAnsi"/>
              </w:rPr>
            </w:pPr>
          </w:p>
          <w:p w14:paraId="7F527652" w14:textId="77777777" w:rsidR="00A126EC" w:rsidRDefault="00A126EC">
            <w:pPr>
              <w:jc w:val="center"/>
              <w:rPr>
                <w:rFonts w:asciiTheme="minorHAnsi" w:hAnsiTheme="minorHAnsi" w:cstheme="minorHAnsi"/>
              </w:rPr>
            </w:pPr>
          </w:p>
          <w:p w14:paraId="16AD91AE" w14:textId="77777777" w:rsidR="00A126EC" w:rsidRDefault="00A126EC">
            <w:pPr>
              <w:jc w:val="center"/>
              <w:rPr>
                <w:rFonts w:asciiTheme="minorHAnsi" w:hAnsiTheme="minorHAnsi" w:cstheme="minorHAnsi"/>
              </w:rPr>
            </w:pPr>
          </w:p>
          <w:p w14:paraId="774DB44C" w14:textId="1992254C" w:rsidR="0096772B" w:rsidRDefault="00A126EC">
            <w:pPr>
              <w:jc w:val="center"/>
              <w:rPr>
                <w:rFonts w:asciiTheme="minorHAnsi" w:hAnsiTheme="minorHAnsi" w:cstheme="minorHAnsi"/>
              </w:rPr>
            </w:pPr>
            <w:r>
              <w:rPr>
                <w:rFonts w:asciiTheme="minorHAnsi" w:hAnsiTheme="minorHAnsi" w:cstheme="minorHAnsi"/>
              </w:rPr>
              <w:t>x</w:t>
            </w:r>
          </w:p>
        </w:tc>
        <w:tc>
          <w:tcPr>
            <w:tcW w:w="1600" w:type="dxa"/>
            <w:vMerge w:val="restart"/>
            <w:tcBorders>
              <w:top w:val="single" w:sz="4" w:space="0" w:color="auto"/>
              <w:left w:val="single" w:sz="4" w:space="0" w:color="auto"/>
              <w:bottom w:val="single" w:sz="4" w:space="0" w:color="auto"/>
              <w:right w:val="single" w:sz="4" w:space="0" w:color="auto"/>
            </w:tcBorders>
            <w:vAlign w:val="center"/>
          </w:tcPr>
          <w:p w14:paraId="29E5EE5F" w14:textId="77777777" w:rsidR="00A126EC" w:rsidRDefault="00A126EC">
            <w:pPr>
              <w:jc w:val="center"/>
              <w:rPr>
                <w:rFonts w:asciiTheme="minorHAnsi" w:hAnsiTheme="minorHAnsi" w:cstheme="minorHAnsi"/>
              </w:rPr>
            </w:pPr>
          </w:p>
          <w:p w14:paraId="3081B53B" w14:textId="77777777" w:rsidR="00A126EC" w:rsidRDefault="00A126EC">
            <w:pPr>
              <w:jc w:val="center"/>
              <w:rPr>
                <w:rFonts w:asciiTheme="minorHAnsi" w:hAnsiTheme="minorHAnsi" w:cstheme="minorHAnsi"/>
              </w:rPr>
            </w:pPr>
          </w:p>
          <w:p w14:paraId="0DCDB812" w14:textId="77777777" w:rsidR="00A126EC" w:rsidRDefault="00A126EC">
            <w:pPr>
              <w:jc w:val="center"/>
              <w:rPr>
                <w:rFonts w:asciiTheme="minorHAnsi" w:hAnsiTheme="minorHAnsi" w:cstheme="minorHAnsi"/>
              </w:rPr>
            </w:pPr>
          </w:p>
          <w:p w14:paraId="7B0AB4A0" w14:textId="7B1272DE" w:rsidR="0096772B" w:rsidRDefault="00A126EC">
            <w:pPr>
              <w:jc w:val="center"/>
              <w:rPr>
                <w:rFonts w:asciiTheme="minorHAnsi" w:hAnsiTheme="minorHAnsi" w:cstheme="minorHAnsi"/>
              </w:rPr>
            </w:pPr>
            <w:r>
              <w:rPr>
                <w:rFonts w:asciiTheme="minorHAnsi" w:hAnsiTheme="minorHAnsi" w:cstheme="minorHAnsi"/>
              </w:rPr>
              <w:t>x</w:t>
            </w:r>
          </w:p>
        </w:tc>
        <w:tc>
          <w:tcPr>
            <w:tcW w:w="1729" w:type="dxa"/>
            <w:vMerge w:val="restart"/>
            <w:tcBorders>
              <w:top w:val="single" w:sz="4" w:space="0" w:color="auto"/>
              <w:left w:val="single" w:sz="4" w:space="0" w:color="auto"/>
              <w:bottom w:val="single" w:sz="4" w:space="0" w:color="auto"/>
              <w:right w:val="single" w:sz="4" w:space="0" w:color="auto"/>
            </w:tcBorders>
            <w:vAlign w:val="center"/>
          </w:tcPr>
          <w:p w14:paraId="64C0696A" w14:textId="77777777" w:rsidR="0096772B" w:rsidRDefault="0096772B">
            <w:pPr>
              <w:jc w:val="center"/>
              <w:rPr>
                <w:rFonts w:asciiTheme="minorHAnsi" w:hAnsiTheme="minorHAnsi" w:cstheme="minorHAnsi"/>
              </w:rPr>
            </w:pPr>
          </w:p>
        </w:tc>
      </w:tr>
      <w:tr w:rsidR="0096772B" w14:paraId="60DBE825" w14:textId="77777777" w:rsidTr="00C06069">
        <w:trPr>
          <w:trHeight w:val="1069"/>
        </w:trPr>
        <w:tc>
          <w:tcPr>
            <w:tcW w:w="8080" w:type="dxa"/>
            <w:tcBorders>
              <w:top w:val="single" w:sz="4" w:space="0" w:color="auto"/>
              <w:left w:val="single" w:sz="4" w:space="0" w:color="auto"/>
              <w:bottom w:val="single" w:sz="4" w:space="0" w:color="auto"/>
              <w:right w:val="single" w:sz="4" w:space="0" w:color="auto"/>
            </w:tcBorders>
            <w:hideMark/>
          </w:tcPr>
          <w:p w14:paraId="735228D2" w14:textId="472658F8" w:rsidR="00D63D3F" w:rsidRPr="00D63D3F" w:rsidRDefault="00D63D3F" w:rsidP="00D63D3F">
            <w:pPr>
              <w:spacing w:line="256" w:lineRule="auto"/>
              <w:rPr>
                <w:rFonts w:asciiTheme="minorHAnsi" w:eastAsiaTheme="minorHAnsi" w:hAnsiTheme="minorHAnsi" w:cstheme="minorHAnsi"/>
                <w:lang w:val="es-CL" w:eastAsia="en-US"/>
              </w:rPr>
            </w:pPr>
            <w:r w:rsidRPr="00D63D3F">
              <w:rPr>
                <w:rFonts w:asciiTheme="minorHAnsi" w:eastAsiaTheme="minorHAnsi" w:hAnsiTheme="minorHAnsi" w:cstheme="minorHAnsi"/>
                <w:lang w:val="es-CL" w:eastAsia="en-US"/>
              </w:rPr>
              <w:t>OA 22</w:t>
            </w:r>
          </w:p>
          <w:p w14:paraId="1D417B25" w14:textId="1633CA2B" w:rsidR="00D63D3F" w:rsidRDefault="00D63D3F" w:rsidP="00D63D3F">
            <w:pPr>
              <w:spacing w:line="256" w:lineRule="auto"/>
              <w:rPr>
                <w:rFonts w:asciiTheme="minorHAnsi" w:eastAsiaTheme="minorHAnsi" w:hAnsiTheme="minorHAnsi" w:cstheme="minorHAnsi"/>
                <w:lang w:val="es-CL" w:eastAsia="en-US"/>
              </w:rPr>
            </w:pPr>
            <w:r w:rsidRPr="00D63D3F">
              <w:rPr>
                <w:rFonts w:asciiTheme="minorHAnsi" w:eastAsiaTheme="minorHAnsi" w:hAnsiTheme="minorHAnsi" w:cstheme="minorHAnsi"/>
                <w:lang w:val="es-CL" w:eastAsia="en-US"/>
              </w:rPr>
              <w:t>Analizar el concepto de derechos humanos, considerando características como su universalidad, indivisibilidad, interdependencia e imprescriptibilidad y la institucionalidad creada para resguardarlos a nivel nacional e internacional, reconociendo, en este contexto, los derechos vinculados a los grupos de especial protección.</w:t>
            </w:r>
          </w:p>
        </w:tc>
        <w:tc>
          <w:tcPr>
            <w:tcW w:w="2026" w:type="dxa"/>
            <w:vMerge/>
            <w:tcBorders>
              <w:top w:val="single" w:sz="4" w:space="0" w:color="auto"/>
              <w:left w:val="single" w:sz="4" w:space="0" w:color="auto"/>
              <w:bottom w:val="single" w:sz="4" w:space="0" w:color="auto"/>
              <w:right w:val="single" w:sz="4" w:space="0" w:color="auto"/>
            </w:tcBorders>
            <w:vAlign w:val="center"/>
            <w:hideMark/>
          </w:tcPr>
          <w:p w14:paraId="741DF016" w14:textId="77777777" w:rsidR="0096772B" w:rsidRDefault="0096772B">
            <w:pPr>
              <w:rPr>
                <w:rFonts w:asciiTheme="minorHAnsi" w:hAnsiTheme="minorHAnsi" w:cstheme="minorHAnsi"/>
                <w:kern w:val="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907E4B" w14:textId="77777777" w:rsidR="0096772B" w:rsidRDefault="0096772B">
            <w:pPr>
              <w:rPr>
                <w:rFonts w:asciiTheme="minorHAnsi" w:hAnsiTheme="minorHAnsi" w:cstheme="minorHAnsi"/>
                <w:kern w:val="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149D84A" w14:textId="77777777" w:rsidR="0096772B" w:rsidRDefault="0096772B">
            <w:pPr>
              <w:rPr>
                <w:rFonts w:asciiTheme="minorHAnsi" w:hAnsiTheme="minorHAnsi" w:cstheme="minorHAnsi"/>
                <w:kern w:val="2"/>
                <w14:ligatures w14:val="standardContextual"/>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FB6EF0" w14:textId="77777777" w:rsidR="0096772B" w:rsidRDefault="0096772B">
            <w:pPr>
              <w:rPr>
                <w:rFonts w:asciiTheme="minorHAnsi" w:hAnsiTheme="minorHAnsi" w:cstheme="minorHAnsi"/>
                <w:kern w:val="2"/>
                <w14:ligatures w14:val="standardContextual"/>
              </w:rPr>
            </w:pPr>
          </w:p>
        </w:tc>
      </w:tr>
      <w:tr w:rsidR="00D63D3F" w14:paraId="49511884" w14:textId="77777777" w:rsidTr="00C06069">
        <w:trPr>
          <w:trHeight w:val="699"/>
        </w:trPr>
        <w:tc>
          <w:tcPr>
            <w:tcW w:w="8080" w:type="dxa"/>
            <w:tcBorders>
              <w:top w:val="single" w:sz="4" w:space="0" w:color="auto"/>
              <w:left w:val="single" w:sz="4" w:space="0" w:color="auto"/>
              <w:bottom w:val="single" w:sz="4" w:space="0" w:color="auto"/>
              <w:right w:val="single" w:sz="4" w:space="0" w:color="auto"/>
            </w:tcBorders>
          </w:tcPr>
          <w:p w14:paraId="2FE288B5" w14:textId="403D2621" w:rsidR="00D63D3F" w:rsidRPr="00D63D3F" w:rsidRDefault="00D63D3F" w:rsidP="00D63D3F">
            <w:pPr>
              <w:spacing w:line="256" w:lineRule="auto"/>
              <w:rPr>
                <w:rFonts w:asciiTheme="minorHAnsi" w:eastAsiaTheme="minorHAnsi" w:hAnsiTheme="minorHAnsi" w:cstheme="minorHAnsi"/>
                <w:lang w:val="es-CL" w:eastAsia="en-US"/>
              </w:rPr>
            </w:pPr>
            <w:r w:rsidRPr="00D63D3F">
              <w:rPr>
                <w:rFonts w:asciiTheme="minorHAnsi" w:eastAsiaTheme="minorHAnsi" w:hAnsiTheme="minorHAnsi" w:cstheme="minorHAnsi"/>
                <w:lang w:val="es-CL" w:eastAsia="en-US"/>
              </w:rPr>
              <w:lastRenderedPageBreak/>
              <w:t>OA 25</w:t>
            </w:r>
          </w:p>
          <w:p w14:paraId="57553A93" w14:textId="20A354C8" w:rsidR="00D63D3F" w:rsidRPr="00D63D3F" w:rsidRDefault="00D63D3F" w:rsidP="00D63D3F">
            <w:pPr>
              <w:spacing w:line="256" w:lineRule="auto"/>
              <w:rPr>
                <w:rFonts w:asciiTheme="minorHAnsi" w:eastAsiaTheme="minorHAnsi" w:hAnsiTheme="minorHAnsi" w:cstheme="minorHAnsi"/>
                <w:lang w:val="es-CL" w:eastAsia="en-US"/>
              </w:rPr>
            </w:pPr>
            <w:r w:rsidRPr="00D63D3F">
              <w:rPr>
                <w:rFonts w:asciiTheme="minorHAnsi" w:eastAsiaTheme="minorHAnsi" w:hAnsiTheme="minorHAnsi" w:cstheme="minorHAnsi"/>
                <w:lang w:val="es-CL" w:eastAsia="en-US"/>
              </w:rPr>
              <w:t>Reconocer la diversidad inherente a las sociedades como manifestación de la libertad y de la dignidad humana, y evaluar las oportunidades y desafíos que un mundo globalizado entrega para evitar toda forma de discriminación, sea por raza o etnia, nacionalidad, situación socioeconómica, religión o creencia, género, orientación sexual o discapacidad, entre otras.</w:t>
            </w:r>
          </w:p>
        </w:tc>
        <w:tc>
          <w:tcPr>
            <w:tcW w:w="2026" w:type="dxa"/>
            <w:tcBorders>
              <w:top w:val="single" w:sz="4" w:space="0" w:color="auto"/>
              <w:left w:val="single" w:sz="4" w:space="0" w:color="auto"/>
              <w:bottom w:val="single" w:sz="4" w:space="0" w:color="auto"/>
              <w:right w:val="single" w:sz="4" w:space="0" w:color="auto"/>
            </w:tcBorders>
            <w:vAlign w:val="center"/>
          </w:tcPr>
          <w:p w14:paraId="7BB500BA" w14:textId="40B090C0" w:rsidR="00D63D3F" w:rsidRDefault="00A126EC">
            <w:pPr>
              <w:rPr>
                <w:rFonts w:asciiTheme="minorHAnsi" w:hAnsiTheme="minorHAnsi" w:cstheme="minorHAnsi"/>
                <w:kern w:val="2"/>
                <w14:ligatures w14:val="standardContextual"/>
              </w:rPr>
            </w:pPr>
            <w:r>
              <w:rPr>
                <w:rFonts w:asciiTheme="minorHAnsi" w:hAnsiTheme="minorHAnsi" w:cstheme="minorHAnsi"/>
                <w:kern w:val="2"/>
                <w14:ligatures w14:val="standardContextual"/>
              </w:rPr>
              <w:t>10 de noviembre al 12 de diciembre</w:t>
            </w:r>
          </w:p>
        </w:tc>
        <w:tc>
          <w:tcPr>
            <w:tcW w:w="0" w:type="auto"/>
            <w:tcBorders>
              <w:top w:val="single" w:sz="4" w:space="0" w:color="auto"/>
              <w:left w:val="single" w:sz="4" w:space="0" w:color="auto"/>
              <w:bottom w:val="single" w:sz="4" w:space="0" w:color="auto"/>
              <w:right w:val="single" w:sz="4" w:space="0" w:color="auto"/>
            </w:tcBorders>
            <w:vAlign w:val="center"/>
          </w:tcPr>
          <w:p w14:paraId="69E9CBEA" w14:textId="213C6925" w:rsidR="00D63D3F" w:rsidRDefault="00A126EC">
            <w:pPr>
              <w:rPr>
                <w:rFonts w:asciiTheme="minorHAnsi" w:hAnsiTheme="minorHAnsi" w:cstheme="minorHAnsi"/>
                <w:kern w:val="2"/>
                <w14:ligatures w14:val="standardContextual"/>
              </w:rPr>
            </w:pPr>
            <w:r>
              <w:rPr>
                <w:rFonts w:asciiTheme="minorHAnsi" w:hAnsiTheme="minorHAnsi" w:cstheme="minorHAnsi"/>
                <w:kern w:val="2"/>
                <w14:ligatures w14:val="standardContextual"/>
              </w:rPr>
              <w:t xml:space="preserve">          x</w:t>
            </w:r>
          </w:p>
        </w:tc>
        <w:tc>
          <w:tcPr>
            <w:tcW w:w="0" w:type="auto"/>
            <w:tcBorders>
              <w:top w:val="single" w:sz="4" w:space="0" w:color="auto"/>
              <w:left w:val="single" w:sz="4" w:space="0" w:color="auto"/>
              <w:bottom w:val="single" w:sz="4" w:space="0" w:color="auto"/>
              <w:right w:val="single" w:sz="4" w:space="0" w:color="auto"/>
            </w:tcBorders>
            <w:vAlign w:val="center"/>
          </w:tcPr>
          <w:p w14:paraId="4940C306" w14:textId="440D794F" w:rsidR="00D63D3F" w:rsidRDefault="00A126EC">
            <w:pPr>
              <w:rPr>
                <w:rFonts w:asciiTheme="minorHAnsi" w:hAnsiTheme="minorHAnsi" w:cstheme="minorHAnsi"/>
                <w:kern w:val="2"/>
                <w14:ligatures w14:val="standardContextual"/>
              </w:rPr>
            </w:pPr>
            <w:r>
              <w:rPr>
                <w:rFonts w:asciiTheme="minorHAnsi" w:hAnsiTheme="minorHAnsi" w:cstheme="minorHAnsi"/>
                <w:kern w:val="2"/>
                <w14:ligatures w14:val="standardContextual"/>
              </w:rPr>
              <w:t xml:space="preserve">            x</w:t>
            </w:r>
          </w:p>
        </w:tc>
        <w:tc>
          <w:tcPr>
            <w:tcW w:w="0" w:type="auto"/>
            <w:tcBorders>
              <w:top w:val="single" w:sz="4" w:space="0" w:color="auto"/>
              <w:left w:val="single" w:sz="4" w:space="0" w:color="auto"/>
              <w:bottom w:val="single" w:sz="4" w:space="0" w:color="auto"/>
              <w:right w:val="single" w:sz="4" w:space="0" w:color="auto"/>
            </w:tcBorders>
            <w:vAlign w:val="center"/>
          </w:tcPr>
          <w:p w14:paraId="5486900D" w14:textId="77777777" w:rsidR="00D63D3F" w:rsidRDefault="00D63D3F">
            <w:pPr>
              <w:rPr>
                <w:rFonts w:asciiTheme="minorHAnsi" w:hAnsiTheme="minorHAnsi" w:cstheme="minorHAnsi"/>
                <w:kern w:val="2"/>
                <w14:ligatures w14:val="standardContextual"/>
              </w:rPr>
            </w:pPr>
          </w:p>
        </w:tc>
      </w:tr>
    </w:tbl>
    <w:p w14:paraId="6F65B020" w14:textId="77777777" w:rsidR="0096772B" w:rsidRDefault="0096772B" w:rsidP="0096772B"/>
    <w:p w14:paraId="2B22AFEA" w14:textId="77777777" w:rsidR="0096772B" w:rsidRDefault="0096772B" w:rsidP="0096772B">
      <w:pPr>
        <w:tabs>
          <w:tab w:val="left" w:pos="5190"/>
        </w:tabs>
      </w:pPr>
    </w:p>
    <w:p w14:paraId="6CC37A3F" w14:textId="77777777" w:rsidR="0096772B" w:rsidRDefault="0096772B" w:rsidP="0096772B"/>
    <w:p w14:paraId="5278CA39" w14:textId="77777777" w:rsidR="0083634D" w:rsidRDefault="0083634D"/>
    <w:sectPr w:rsidR="0083634D" w:rsidSect="0096772B">
      <w:pgSz w:w="15840" w:h="12240" w:orient="landscape"/>
      <w:pgMar w:top="1701" w:right="1417" w:bottom="1701"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1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6772B"/>
    <w:rsid w:val="0083634D"/>
    <w:rsid w:val="0096772B"/>
    <w:rsid w:val="009F13ED"/>
    <w:rsid w:val="00A126EC"/>
    <w:rsid w:val="00C06069"/>
    <w:rsid w:val="00D63D3F"/>
  </w:rsids>
  <m:mathPr>
    <m:mathFont m:val="Cambria Math"/>
    <m:brkBin m:val="before"/>
    <m:brkBinSub m:val="--"/>
    <m:smallFrac m:val="0"/>
    <m:dispDef/>
    <m:lMargin m:val="0"/>
    <m:rMargin m:val="0"/>
    <m:defJc m:val="centerGroup"/>
    <m:wrapIndent m:val="1440"/>
    <m:intLim m:val="subSup"/>
    <m:naryLim m:val="undOvr"/>
  </m:mathPr>
  <w:themeFontLang w:val="es-C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B5A8CB"/>
  <w15:chartTrackingRefBased/>
  <w15:docId w15:val="{2FFADD04-42DA-4E71-B5A1-FD77BE096AA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kern w:val="2"/>
        <w:sz w:val="22"/>
        <w:szCs w:val="22"/>
        <w:lang w:val="es-C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6772B"/>
    <w:pPr>
      <w:spacing w:after="0" w:line="240" w:lineRule="auto"/>
    </w:pPr>
    <w:rPr>
      <w:rFonts w:ascii="Times New Roman" w:eastAsia="Times New Roman" w:hAnsi="Times New Roman" w:cs="Times New Roman"/>
      <w:kern w:val="0"/>
      <w:sz w:val="24"/>
      <w:szCs w:val="24"/>
      <w:lang w:val="es-ES" w:eastAsia="es-ES"/>
      <w14:ligatures w14:val="none"/>
    </w:rPr>
  </w:style>
  <w:style w:type="paragraph" w:styleId="Ttulo1">
    <w:name w:val="heading 1"/>
    <w:basedOn w:val="Normal"/>
    <w:next w:val="Normal"/>
    <w:link w:val="Ttulo1Car"/>
    <w:uiPriority w:val="9"/>
    <w:qFormat/>
    <w:rsid w:val="00D63D3F"/>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Ttulo2">
    <w:name w:val="heading 2"/>
    <w:basedOn w:val="Normal"/>
    <w:next w:val="Normal"/>
    <w:link w:val="Ttulo2Car"/>
    <w:uiPriority w:val="9"/>
    <w:semiHidden/>
    <w:unhideWhenUsed/>
    <w:qFormat/>
    <w:rsid w:val="00D63D3F"/>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NormalWeb">
    <w:name w:val="Normal (Web)"/>
    <w:basedOn w:val="Normal"/>
    <w:uiPriority w:val="99"/>
    <w:semiHidden/>
    <w:unhideWhenUsed/>
    <w:rsid w:val="0096772B"/>
    <w:pPr>
      <w:spacing w:before="100" w:beforeAutospacing="1" w:after="100" w:afterAutospacing="1"/>
    </w:pPr>
    <w:rPr>
      <w:lang w:val="es-CL" w:eastAsia="es-CL"/>
    </w:rPr>
  </w:style>
  <w:style w:type="table" w:styleId="Tablaconcuadrcula">
    <w:name w:val="Table Grid"/>
    <w:basedOn w:val="Tablanormal"/>
    <w:uiPriority w:val="39"/>
    <w:rsid w:val="0096772B"/>
    <w:pPr>
      <w:spacing w:after="0" w:line="240" w:lineRule="auto"/>
    </w:p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tulo2Car">
    <w:name w:val="Título 2 Car"/>
    <w:basedOn w:val="Fuentedeprrafopredeter"/>
    <w:link w:val="Ttulo2"/>
    <w:uiPriority w:val="9"/>
    <w:semiHidden/>
    <w:rsid w:val="00D63D3F"/>
    <w:rPr>
      <w:rFonts w:asciiTheme="majorHAnsi" w:eastAsiaTheme="majorEastAsia" w:hAnsiTheme="majorHAnsi" w:cstheme="majorBidi"/>
      <w:color w:val="2F5496" w:themeColor="accent1" w:themeShade="BF"/>
      <w:kern w:val="0"/>
      <w:sz w:val="26"/>
      <w:szCs w:val="26"/>
      <w:lang w:val="es-ES" w:eastAsia="es-ES"/>
      <w14:ligatures w14:val="none"/>
    </w:rPr>
  </w:style>
  <w:style w:type="character" w:customStyle="1" w:styleId="Ttulo1Car">
    <w:name w:val="Título 1 Car"/>
    <w:basedOn w:val="Fuentedeprrafopredeter"/>
    <w:link w:val="Ttulo1"/>
    <w:uiPriority w:val="9"/>
    <w:rsid w:val="00D63D3F"/>
    <w:rPr>
      <w:rFonts w:asciiTheme="majorHAnsi" w:eastAsiaTheme="majorEastAsia" w:hAnsiTheme="majorHAnsi" w:cstheme="majorBidi"/>
      <w:color w:val="2F5496" w:themeColor="accent1" w:themeShade="BF"/>
      <w:kern w:val="0"/>
      <w:sz w:val="32"/>
      <w:szCs w:val="32"/>
      <w:lang w:val="es-ES" w:eastAsia="es-ES"/>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6639029">
      <w:bodyDiv w:val="1"/>
      <w:marLeft w:val="0"/>
      <w:marRight w:val="0"/>
      <w:marTop w:val="0"/>
      <w:marBottom w:val="0"/>
      <w:divBdr>
        <w:top w:val="none" w:sz="0" w:space="0" w:color="auto"/>
        <w:left w:val="none" w:sz="0" w:space="0" w:color="auto"/>
        <w:bottom w:val="none" w:sz="0" w:space="0" w:color="auto"/>
        <w:right w:val="none" w:sz="0" w:space="0" w:color="auto"/>
      </w:divBdr>
    </w:div>
    <w:div w:id="187379157">
      <w:bodyDiv w:val="1"/>
      <w:marLeft w:val="0"/>
      <w:marRight w:val="0"/>
      <w:marTop w:val="0"/>
      <w:marBottom w:val="0"/>
      <w:divBdr>
        <w:top w:val="none" w:sz="0" w:space="0" w:color="auto"/>
        <w:left w:val="none" w:sz="0" w:space="0" w:color="auto"/>
        <w:bottom w:val="none" w:sz="0" w:space="0" w:color="auto"/>
        <w:right w:val="none" w:sz="0" w:space="0" w:color="auto"/>
      </w:divBdr>
    </w:div>
    <w:div w:id="283928960">
      <w:bodyDiv w:val="1"/>
      <w:marLeft w:val="0"/>
      <w:marRight w:val="0"/>
      <w:marTop w:val="0"/>
      <w:marBottom w:val="0"/>
      <w:divBdr>
        <w:top w:val="none" w:sz="0" w:space="0" w:color="auto"/>
        <w:left w:val="none" w:sz="0" w:space="0" w:color="auto"/>
        <w:bottom w:val="none" w:sz="0" w:space="0" w:color="auto"/>
        <w:right w:val="none" w:sz="0" w:space="0" w:color="auto"/>
      </w:divBdr>
    </w:div>
    <w:div w:id="611475790">
      <w:bodyDiv w:val="1"/>
      <w:marLeft w:val="0"/>
      <w:marRight w:val="0"/>
      <w:marTop w:val="0"/>
      <w:marBottom w:val="0"/>
      <w:divBdr>
        <w:top w:val="none" w:sz="0" w:space="0" w:color="auto"/>
        <w:left w:val="none" w:sz="0" w:space="0" w:color="auto"/>
        <w:bottom w:val="none" w:sz="0" w:space="0" w:color="auto"/>
        <w:right w:val="none" w:sz="0" w:space="0" w:color="auto"/>
      </w:divBdr>
    </w:div>
    <w:div w:id="1037391174">
      <w:bodyDiv w:val="1"/>
      <w:marLeft w:val="0"/>
      <w:marRight w:val="0"/>
      <w:marTop w:val="0"/>
      <w:marBottom w:val="0"/>
      <w:divBdr>
        <w:top w:val="none" w:sz="0" w:space="0" w:color="auto"/>
        <w:left w:val="none" w:sz="0" w:space="0" w:color="auto"/>
        <w:bottom w:val="none" w:sz="0" w:space="0" w:color="auto"/>
        <w:right w:val="none" w:sz="0" w:space="0" w:color="auto"/>
      </w:divBdr>
    </w:div>
    <w:div w:id="1683168439">
      <w:bodyDiv w:val="1"/>
      <w:marLeft w:val="0"/>
      <w:marRight w:val="0"/>
      <w:marTop w:val="0"/>
      <w:marBottom w:val="0"/>
      <w:divBdr>
        <w:top w:val="none" w:sz="0" w:space="0" w:color="auto"/>
        <w:left w:val="none" w:sz="0" w:space="0" w:color="auto"/>
        <w:bottom w:val="none" w:sz="0" w:space="0" w:color="auto"/>
        <w:right w:val="none" w:sz="0" w:space="0" w:color="auto"/>
      </w:divBdr>
    </w:div>
    <w:div w:id="1693411344">
      <w:bodyDiv w:val="1"/>
      <w:marLeft w:val="0"/>
      <w:marRight w:val="0"/>
      <w:marTop w:val="0"/>
      <w:marBottom w:val="0"/>
      <w:divBdr>
        <w:top w:val="none" w:sz="0" w:space="0" w:color="auto"/>
        <w:left w:val="none" w:sz="0" w:space="0" w:color="auto"/>
        <w:bottom w:val="none" w:sz="0" w:space="0" w:color="auto"/>
        <w:right w:val="none" w:sz="0" w:space="0" w:color="auto"/>
      </w:divBdr>
    </w:div>
    <w:div w:id="1853256217">
      <w:bodyDiv w:val="1"/>
      <w:marLeft w:val="0"/>
      <w:marRight w:val="0"/>
      <w:marTop w:val="0"/>
      <w:marBottom w:val="0"/>
      <w:divBdr>
        <w:top w:val="none" w:sz="0" w:space="0" w:color="auto"/>
        <w:left w:val="none" w:sz="0" w:space="0" w:color="auto"/>
        <w:bottom w:val="none" w:sz="0" w:space="0" w:color="auto"/>
        <w:right w:val="none" w:sz="0" w:space="0" w:color="auto"/>
      </w:divBdr>
    </w:div>
    <w:div w:id="1934628512">
      <w:bodyDiv w:val="1"/>
      <w:marLeft w:val="0"/>
      <w:marRight w:val="0"/>
      <w:marTop w:val="0"/>
      <w:marBottom w:val="0"/>
      <w:divBdr>
        <w:top w:val="none" w:sz="0" w:space="0" w:color="auto"/>
        <w:left w:val="none" w:sz="0" w:space="0" w:color="auto"/>
        <w:bottom w:val="none" w:sz="0" w:space="0" w:color="auto"/>
        <w:right w:val="none" w:sz="0" w:space="0" w:color="auto"/>
      </w:divBdr>
    </w:div>
    <w:div w:id="2028436712">
      <w:bodyDiv w:val="1"/>
      <w:marLeft w:val="0"/>
      <w:marRight w:val="0"/>
      <w:marTop w:val="0"/>
      <w:marBottom w:val="0"/>
      <w:divBdr>
        <w:top w:val="none" w:sz="0" w:space="0" w:color="auto"/>
        <w:left w:val="none" w:sz="0" w:space="0" w:color="auto"/>
        <w:bottom w:val="none" w:sz="0" w:space="0" w:color="auto"/>
        <w:right w:val="none" w:sz="0" w:space="0" w:color="auto"/>
      </w:divBdr>
    </w:div>
    <w:div w:id="20982804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image" Target="media/image1.jpe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43</TotalTime>
  <Pages>1</Pages>
  <Words>843</Words>
  <Characters>4642</Characters>
  <Application>Microsoft Office Word</Application>
  <DocSecurity>0</DocSecurity>
  <Lines>38</Lines>
  <Paragraphs>10</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5475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Camila Urzua</dc:creator>
  <cp:keywords/>
  <dc:description/>
  <cp:lastModifiedBy>Camila Urzua</cp:lastModifiedBy>
  <cp:revision>4</cp:revision>
  <dcterms:created xsi:type="dcterms:W3CDTF">2025-06-25T14:37:00Z</dcterms:created>
  <dcterms:modified xsi:type="dcterms:W3CDTF">2025-06-25T19:56:00Z</dcterms:modified>
</cp:coreProperties>
</file>